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10EF" w:rsidRPr="009D06D0" w:rsidRDefault="00DC10EF" w:rsidP="00DC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к проекту профессионального стандарта</w:t>
      </w:r>
    </w:p>
    <w:p w:rsidR="00DC10EF" w:rsidRPr="009D06D0" w:rsidRDefault="00DC10EF" w:rsidP="00DC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«Оператор установок по регенерации сульфатных</w:t>
      </w:r>
      <w:r w:rsidR="005425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щелоков</w:t>
      </w:r>
      <w:r w:rsidRPr="009D06D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2015</w:t>
      </w:r>
      <w:r w:rsidRPr="009D06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10EF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  <w:gridCol w:w="907"/>
      </w:tblGrid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1 Общая характеристика вида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деятельности, трудовых функций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pStyle w:val="10"/>
              <w:widowControl/>
              <w:numPr>
                <w:ilvl w:val="1"/>
                <w:numId w:val="3"/>
              </w:numPr>
              <w:tabs>
                <w:tab w:val="num" w:pos="360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 xml:space="preserve">Информация о перспективах развития вида профессиональной деятельности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1.2.Обобщенные трудовые функции, входящие в вид профессиональной деятельности, и обоснование их отнесения к конкретным уровням 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9D06D0" w:rsidRDefault="00DC10EF" w:rsidP="0078798A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1.3 Состав трудовых функций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этапы разработки проекта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2.1.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разработки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экспертам,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проекта профессионального стандарта</w:t>
            </w:r>
            <w:r w:rsidRPr="009D06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0EF" w:rsidRPr="009D06D0" w:rsidTr="0078798A">
        <w:trPr>
          <w:trHeight w:val="539"/>
        </w:trPr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 Сводные данные об организациях и экспертах, привлеченных к обсуждению 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0EF" w:rsidRPr="009D06D0" w:rsidTr="0078798A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EF" w:rsidRPr="009D06D0" w:rsidRDefault="00DC10EF" w:rsidP="007879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F" w:rsidRPr="009D06D0" w:rsidRDefault="00DC10EF" w:rsidP="0078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rPr>
          <w:rFonts w:ascii="Times New Roman" w:hAnsi="Times New Roman" w:cs="Times New Roman"/>
          <w:b/>
          <w:sz w:val="24"/>
          <w:szCs w:val="24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EF" w:rsidRDefault="00DC10EF" w:rsidP="00DC10EF">
      <w:pPr>
        <w:rPr>
          <w:rFonts w:ascii="Times New Roman" w:hAnsi="Times New Roman" w:cs="Times New Roman"/>
          <w:b/>
          <w:sz w:val="28"/>
          <w:szCs w:val="28"/>
        </w:rPr>
      </w:pPr>
    </w:p>
    <w:p w:rsidR="00DC10EF" w:rsidRPr="009D06D0" w:rsidRDefault="00DC10EF" w:rsidP="00DC1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10EF" w:rsidRPr="009D06D0" w:rsidRDefault="00DC10EF" w:rsidP="00DC10E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D06D0">
        <w:rPr>
          <w:rFonts w:ascii="Times New Roman" w:hAnsi="Times New Roman" w:cs="Times New Roman"/>
          <w:b/>
          <w:sz w:val="24"/>
          <w:szCs w:val="24"/>
        </w:rPr>
        <w:t>Общая характеристика вида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деятельности, трудовых функций</w:t>
      </w:r>
    </w:p>
    <w:p w:rsidR="00DC10EF" w:rsidRPr="009D06D0" w:rsidRDefault="00DC10EF" w:rsidP="00DC10E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C10EF" w:rsidRPr="009D06D0" w:rsidRDefault="00DC10EF" w:rsidP="00DC10E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 вида профессиональной деятельности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стратегически и социально значимых отраслей промышленности в экономике Российской Федерации является  целлюлозно-бумажная промышленность, которая входит в состав лесопромышленного комплекса страны.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Продукция, вырабатываемая предприятиями целлюлозно-бумажная промышленности, находит применение в других отраслях: полиграфической, химической, радиотехнической, пищевой, отдельные виды продукции используются в строительстве и медицине.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производства и потребления бумажно-картонной продукции оказывают непосредственное влияние на социальное и культурное развитие общества.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отметить, что при большом (более 190) количестве предприятий структура их очень неоднородна. Одна часть предприятий небольшой мощности с устаревшим оборудованием со значительным моральным и физическим износом. Другая часть (флагманы целлюлозно-бумажной промышленности) с самым современным уровнем техники, современными технологиями производства.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 предприятиях отрасли, вырабатывающих целлюлозу по сульфатному способу варки, произошла существенная модернизация технологического процесса варки, позволившая увеличить объемы вырабатываемой целлюлозы. Так ОАО «</w:t>
      </w:r>
      <w:r w:rsidRPr="0039451B">
        <w:rPr>
          <w:rFonts w:ascii="Times New Roman" w:hAnsi="Times New Roman" w:cs="Times New Roman"/>
          <w:sz w:val="24"/>
          <w:szCs w:val="24"/>
        </w:rPr>
        <w:t>Монди</w:t>
      </w:r>
      <w:r>
        <w:rPr>
          <w:rFonts w:ascii="Times New Roman" w:hAnsi="Times New Roman" w:cs="Times New Roman"/>
          <w:sz w:val="24"/>
          <w:szCs w:val="24"/>
        </w:rPr>
        <w:t xml:space="preserve"> Сыктывкарский ЛПК» реализовав проект под названием «Степ» увеличил выпуск целлюлозы до 980 тыс. тонн в год, а предприятие </w:t>
      </w:r>
      <w:r w:rsidRPr="0039451B">
        <w:rPr>
          <w:rFonts w:ascii="Times New Roman" w:hAnsi="Times New Roman" w:cs="Times New Roman"/>
          <w:sz w:val="24"/>
          <w:szCs w:val="24"/>
        </w:rPr>
        <w:t xml:space="preserve">ОАО «Группа «Илим»  </w:t>
      </w:r>
      <w:r>
        <w:rPr>
          <w:rFonts w:ascii="Times New Roman" w:hAnsi="Times New Roman" w:cs="Times New Roman"/>
          <w:sz w:val="24"/>
          <w:szCs w:val="24"/>
        </w:rPr>
        <w:t>после реализации проекта «Большой Братск» увеличило выпуск целлюлозы до 770 тыс. тонн в год. При реализации указанных проектов были модернизированы и построены новые содорегенерационные агрегаты для переработки большего объема черных щелоков.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 сульфатному способу осуществляют выпуск целлюлозы такие предприятия, как ОАО «Архангельский ЦБК», </w:t>
      </w:r>
      <w:r w:rsidRPr="0039451B">
        <w:rPr>
          <w:rFonts w:ascii="Times New Roman" w:hAnsi="Times New Roman" w:cs="Times New Roman"/>
          <w:sz w:val="24"/>
          <w:szCs w:val="24"/>
        </w:rPr>
        <w:t xml:space="preserve">ОАО «Группа «Илим»  </w:t>
      </w:r>
      <w:r>
        <w:rPr>
          <w:rFonts w:ascii="Times New Roman" w:hAnsi="Times New Roman" w:cs="Times New Roman"/>
          <w:sz w:val="24"/>
          <w:szCs w:val="24"/>
        </w:rPr>
        <w:t>в г. Коряжма Архангельской области и др.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строительство нового комбината по выпуску бумажной продукции на основе сульфатной целлюлозы в Хабаровском крае и прорабатывается вопрос строительства сульфатного завода в Богучанском районе Красноярского края. Заложено строительство нового предприятия по выпуску бумажно-картонной продукции  в г. Пестово Вологодской области. Таким образом, перспектива  развития сульфатного способа производства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целлюлозы приобретает все большее значение и, как следствие, возникает необходимость решать вопросы регенерации отработанного черного щелка. </w:t>
      </w:r>
    </w:p>
    <w:p w:rsidR="00847AB7" w:rsidRDefault="00847AB7" w:rsidP="006C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B7">
        <w:rPr>
          <w:rFonts w:ascii="Times New Roman" w:hAnsi="Times New Roman" w:cs="Times New Roman"/>
          <w:sz w:val="24"/>
          <w:szCs w:val="24"/>
        </w:rPr>
        <w:t>Отработанный черный щелок, отделяе</w:t>
      </w:r>
      <w:r w:rsidR="00244E0D">
        <w:rPr>
          <w:rFonts w:ascii="Times New Roman" w:hAnsi="Times New Roman" w:cs="Times New Roman"/>
          <w:sz w:val="24"/>
          <w:szCs w:val="24"/>
        </w:rPr>
        <w:t>мый от целлюлозы,</w:t>
      </w:r>
      <w:r w:rsidRPr="00847AB7">
        <w:rPr>
          <w:rFonts w:ascii="Times New Roman" w:hAnsi="Times New Roman" w:cs="Times New Roman"/>
          <w:sz w:val="24"/>
          <w:szCs w:val="24"/>
        </w:rPr>
        <w:t xml:space="preserve"> 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на выпарную установку, где упари</w:t>
      </w:r>
      <w:r>
        <w:rPr>
          <w:rFonts w:ascii="Times New Roman" w:hAnsi="Times New Roman" w:cs="Times New Roman"/>
          <w:sz w:val="24"/>
          <w:szCs w:val="24"/>
        </w:rPr>
        <w:t xml:space="preserve">вается до </w:t>
      </w:r>
      <w:r w:rsidR="00244E0D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>
        <w:rPr>
          <w:rFonts w:ascii="Times New Roman" w:hAnsi="Times New Roman" w:cs="Times New Roman"/>
          <w:sz w:val="24"/>
          <w:szCs w:val="24"/>
        </w:rPr>
        <w:t>концентрации сухих ве</w:t>
      </w:r>
      <w:r w:rsidR="00244E0D">
        <w:rPr>
          <w:rFonts w:ascii="Times New Roman" w:hAnsi="Times New Roman" w:cs="Times New Roman"/>
          <w:sz w:val="24"/>
          <w:szCs w:val="24"/>
        </w:rPr>
        <w:t>ществ</w:t>
      </w:r>
      <w:r w:rsidRPr="00847AB7">
        <w:rPr>
          <w:rFonts w:ascii="Times New Roman" w:hAnsi="Times New Roman" w:cs="Times New Roman"/>
          <w:sz w:val="24"/>
          <w:szCs w:val="24"/>
        </w:rPr>
        <w:t>. К упаренному че</w:t>
      </w:r>
      <w:r>
        <w:rPr>
          <w:rFonts w:ascii="Times New Roman" w:hAnsi="Times New Roman" w:cs="Times New Roman"/>
          <w:sz w:val="24"/>
          <w:szCs w:val="24"/>
        </w:rPr>
        <w:t>рному щелоку для восполнения по</w:t>
      </w:r>
      <w:r w:rsidRPr="00847AB7">
        <w:rPr>
          <w:rFonts w:ascii="Times New Roman" w:hAnsi="Times New Roman" w:cs="Times New Roman"/>
          <w:sz w:val="24"/>
          <w:szCs w:val="24"/>
        </w:rPr>
        <w:t>терь химикатов добавляется сульфат натрия, затем он поступает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сжигание в топку содорегенерационного котлоагрегата</w:t>
      </w:r>
      <w:r>
        <w:rPr>
          <w:rFonts w:ascii="Times New Roman" w:hAnsi="Times New Roman" w:cs="Times New Roman"/>
          <w:sz w:val="24"/>
          <w:szCs w:val="24"/>
        </w:rPr>
        <w:t xml:space="preserve"> (СРК).</w:t>
      </w:r>
    </w:p>
    <w:p w:rsidR="00847AB7" w:rsidRDefault="00847AB7" w:rsidP="006C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B7">
        <w:rPr>
          <w:rFonts w:ascii="Times New Roman" w:hAnsi="Times New Roman" w:cs="Times New Roman"/>
          <w:sz w:val="24"/>
          <w:szCs w:val="24"/>
        </w:rPr>
        <w:t>В результате химических реакций, происходящих в СРК (окисление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органических веществ, восстановление сульфата натрия до сульфида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натрия, карбонизация солей натрия), образуется плав, состоящий 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из карбоната и сульфида натрия. Плав растворяется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смеси слабых щелоков.</w:t>
      </w:r>
    </w:p>
    <w:p w:rsidR="00244E0D" w:rsidRDefault="00847AB7" w:rsidP="006C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B7">
        <w:rPr>
          <w:rFonts w:ascii="Times New Roman" w:hAnsi="Times New Roman" w:cs="Times New Roman"/>
          <w:sz w:val="24"/>
          <w:szCs w:val="24"/>
        </w:rPr>
        <w:t>Раствор плава в воде или слабом щелоке, называемый зеленым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щелоком, после осветления поступа</w:t>
      </w:r>
      <w:r>
        <w:rPr>
          <w:rFonts w:ascii="Times New Roman" w:hAnsi="Times New Roman" w:cs="Times New Roman"/>
          <w:sz w:val="24"/>
          <w:szCs w:val="24"/>
        </w:rPr>
        <w:t>ет на установку непрерывной кау</w:t>
      </w:r>
      <w:r w:rsidRPr="00847AB7">
        <w:rPr>
          <w:rFonts w:ascii="Times New Roman" w:hAnsi="Times New Roman" w:cs="Times New Roman"/>
          <w:sz w:val="24"/>
          <w:szCs w:val="24"/>
        </w:rPr>
        <w:t xml:space="preserve">стизации. В процессе каустизации в </w:t>
      </w:r>
      <w:r>
        <w:rPr>
          <w:rFonts w:ascii="Times New Roman" w:hAnsi="Times New Roman" w:cs="Times New Roman"/>
          <w:sz w:val="24"/>
          <w:szCs w:val="24"/>
        </w:rPr>
        <w:t>результате реакции карбоната на</w:t>
      </w:r>
      <w:r w:rsidRPr="00847AB7">
        <w:rPr>
          <w:rFonts w:ascii="Times New Roman" w:hAnsi="Times New Roman" w:cs="Times New Roman"/>
          <w:sz w:val="24"/>
          <w:szCs w:val="24"/>
        </w:rPr>
        <w:t>трия с оксидом кальция (негашеная известь) образуется гидроксид натрия. Полученный раствор - крепкий белый щелок - после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выпавшего в осадок карбоната каль</w:t>
      </w:r>
      <w:r>
        <w:rPr>
          <w:rFonts w:ascii="Times New Roman" w:hAnsi="Times New Roman" w:cs="Times New Roman"/>
          <w:sz w:val="24"/>
          <w:szCs w:val="24"/>
        </w:rPr>
        <w:t>ция (известкового шлама) направ</w:t>
      </w:r>
      <w:r w:rsidRPr="00847AB7">
        <w:rPr>
          <w:rFonts w:ascii="Times New Roman" w:hAnsi="Times New Roman" w:cs="Times New Roman"/>
          <w:sz w:val="24"/>
          <w:szCs w:val="24"/>
        </w:rPr>
        <w:t>ляется в варочный цех</w:t>
      </w:r>
      <w:r>
        <w:rPr>
          <w:rFonts w:ascii="Times New Roman" w:hAnsi="Times New Roman" w:cs="Times New Roman"/>
          <w:sz w:val="24"/>
          <w:szCs w:val="24"/>
        </w:rPr>
        <w:t>. Обсуживают оборудование и управляют процессом каустизации – миксовщики.</w:t>
      </w:r>
    </w:p>
    <w:p w:rsidR="00244E0D" w:rsidRPr="00244E0D" w:rsidRDefault="00847AB7" w:rsidP="006C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B7">
        <w:rPr>
          <w:rFonts w:ascii="Times New Roman" w:hAnsi="Times New Roman" w:cs="Times New Roman"/>
          <w:sz w:val="24"/>
          <w:szCs w:val="24"/>
        </w:rPr>
        <w:t>Отделенный от белого щелока и промытый шлам обжигается в</w:t>
      </w:r>
      <w:r w:rsidR="009C66F9"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известерегенерационной печи (ИРП) с получением негашеной извес</w:t>
      </w:r>
      <w:r w:rsidR="00244E0D">
        <w:rPr>
          <w:rFonts w:ascii="Times New Roman" w:hAnsi="Times New Roman" w:cs="Times New Roman"/>
          <w:sz w:val="24"/>
          <w:szCs w:val="24"/>
        </w:rPr>
        <w:t>ти.</w:t>
      </w:r>
      <w:r w:rsidRPr="00847AB7">
        <w:rPr>
          <w:rFonts w:ascii="Times New Roman" w:hAnsi="Times New Roman" w:cs="Times New Roman"/>
          <w:sz w:val="24"/>
          <w:szCs w:val="24"/>
        </w:rPr>
        <w:t xml:space="preserve">. </w:t>
      </w:r>
      <w:r w:rsidR="00244E0D" w:rsidRPr="00244E0D">
        <w:rPr>
          <w:rFonts w:ascii="Times New Roman" w:hAnsi="Times New Roman" w:cs="Times New Roman"/>
          <w:sz w:val="24"/>
          <w:szCs w:val="24"/>
        </w:rPr>
        <w:t>Для</w:t>
      </w:r>
      <w:r w:rsidR="00244E0D">
        <w:rPr>
          <w:rFonts w:ascii="Times New Roman" w:hAnsi="Times New Roman" w:cs="Times New Roman"/>
          <w:sz w:val="26"/>
          <w:szCs w:val="26"/>
        </w:rPr>
        <w:t xml:space="preserve"> </w:t>
      </w:r>
      <w:r w:rsidR="00244E0D" w:rsidRPr="00244E0D">
        <w:rPr>
          <w:rFonts w:ascii="Times New Roman" w:hAnsi="Times New Roman" w:cs="Times New Roman"/>
          <w:sz w:val="24"/>
          <w:szCs w:val="24"/>
        </w:rPr>
        <w:t>обжига известкового шлама применяются цилиндрические</w:t>
      </w:r>
      <w:r w:rsidR="00244E0D">
        <w:rPr>
          <w:rFonts w:ascii="Times New Roman" w:hAnsi="Times New Roman" w:cs="Times New Roman"/>
          <w:sz w:val="24"/>
          <w:szCs w:val="24"/>
        </w:rPr>
        <w:t xml:space="preserve"> </w:t>
      </w:r>
      <w:r w:rsidR="00244E0D" w:rsidRPr="00244E0D">
        <w:rPr>
          <w:rFonts w:ascii="Times New Roman" w:hAnsi="Times New Roman" w:cs="Times New Roman"/>
          <w:sz w:val="24"/>
          <w:szCs w:val="24"/>
        </w:rPr>
        <w:t xml:space="preserve">вращающиеся ИРП, </w:t>
      </w:r>
      <w:r w:rsidR="00244E0D">
        <w:rPr>
          <w:rFonts w:ascii="Times New Roman" w:hAnsi="Times New Roman" w:cs="Times New Roman"/>
          <w:sz w:val="24"/>
          <w:szCs w:val="24"/>
        </w:rPr>
        <w:t>различной производительности.</w:t>
      </w:r>
      <w:r w:rsidR="00244E0D" w:rsidRPr="00244E0D">
        <w:rPr>
          <w:rFonts w:ascii="Times New Roman" w:hAnsi="Times New Roman" w:cs="Times New Roman"/>
          <w:sz w:val="24"/>
          <w:szCs w:val="24"/>
        </w:rPr>
        <w:t xml:space="preserve"> Предварительно промытый известковый</w:t>
      </w:r>
      <w:r w:rsidR="00244E0D">
        <w:rPr>
          <w:rFonts w:ascii="Times New Roman" w:hAnsi="Times New Roman" w:cs="Times New Roman"/>
          <w:sz w:val="24"/>
          <w:szCs w:val="24"/>
        </w:rPr>
        <w:t xml:space="preserve"> </w:t>
      </w:r>
      <w:r w:rsidR="00244E0D" w:rsidRPr="00244E0D">
        <w:rPr>
          <w:rFonts w:ascii="Times New Roman" w:hAnsi="Times New Roman" w:cs="Times New Roman"/>
          <w:sz w:val="24"/>
          <w:szCs w:val="24"/>
        </w:rPr>
        <w:t>шлам обез</w:t>
      </w:r>
      <w:r w:rsidR="00244E0D">
        <w:rPr>
          <w:rFonts w:ascii="Times New Roman" w:hAnsi="Times New Roman" w:cs="Times New Roman"/>
          <w:sz w:val="24"/>
          <w:szCs w:val="24"/>
        </w:rPr>
        <w:t>воживается</w:t>
      </w:r>
      <w:r w:rsidR="00244E0D" w:rsidRPr="00244E0D">
        <w:rPr>
          <w:rFonts w:ascii="Times New Roman" w:hAnsi="Times New Roman" w:cs="Times New Roman"/>
          <w:sz w:val="24"/>
          <w:szCs w:val="24"/>
        </w:rPr>
        <w:t xml:space="preserve"> и направляется в ИРП, где</w:t>
      </w:r>
      <w:r w:rsidR="00244E0D">
        <w:rPr>
          <w:rFonts w:ascii="Times New Roman" w:hAnsi="Times New Roman" w:cs="Times New Roman"/>
          <w:sz w:val="24"/>
          <w:szCs w:val="24"/>
        </w:rPr>
        <w:t xml:space="preserve"> </w:t>
      </w:r>
      <w:r w:rsidR="00244E0D" w:rsidRPr="00244E0D">
        <w:rPr>
          <w:rFonts w:ascii="Times New Roman" w:hAnsi="Times New Roman" w:cs="Times New Roman"/>
          <w:sz w:val="24"/>
          <w:szCs w:val="24"/>
        </w:rPr>
        <w:t>происходит обжиг. Получаемый из печи продукт - обожженная известь - возвращается в гаситель-классификатор для каустизации зеленого щелока.</w:t>
      </w:r>
    </w:p>
    <w:p w:rsidR="009C66F9" w:rsidRDefault="00847AB7" w:rsidP="006C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B7">
        <w:rPr>
          <w:rFonts w:ascii="Times New Roman" w:hAnsi="Times New Roman" w:cs="Times New Roman"/>
          <w:sz w:val="24"/>
          <w:szCs w:val="24"/>
        </w:rPr>
        <w:t>Потери извести компенсируются подачей в печь дробленого известняка, обжигаемого</w:t>
      </w:r>
      <w:r w:rsidR="009C66F9"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>вместе со шламом. Потери щелочи и серы восполняются добавкой</w:t>
      </w:r>
      <w:r w:rsidR="00244E0D">
        <w:rPr>
          <w:rFonts w:ascii="Times New Roman" w:hAnsi="Times New Roman" w:cs="Times New Roman"/>
          <w:sz w:val="24"/>
          <w:szCs w:val="24"/>
        </w:rPr>
        <w:t xml:space="preserve"> </w:t>
      </w:r>
      <w:r w:rsidRPr="00847AB7">
        <w:rPr>
          <w:rFonts w:ascii="Times New Roman" w:hAnsi="Times New Roman" w:cs="Times New Roman"/>
          <w:sz w:val="24"/>
          <w:szCs w:val="24"/>
        </w:rPr>
        <w:t xml:space="preserve">сульфата натрия в крепкий черный щелок перед его сжиганием в топке СРК или соды в зеленый щелок и едкого натра в белый щелок. </w:t>
      </w:r>
      <w:r w:rsidR="009C66F9" w:rsidRPr="009C66F9">
        <w:rPr>
          <w:rFonts w:ascii="Times New Roman" w:hAnsi="Times New Roman" w:cs="Times New Roman"/>
          <w:sz w:val="24"/>
          <w:szCs w:val="24"/>
        </w:rPr>
        <w:t>Обслуживают оборудование</w:t>
      </w:r>
      <w:r w:rsidR="009C66F9">
        <w:rPr>
          <w:rFonts w:ascii="Times New Roman" w:hAnsi="Times New Roman" w:cs="Times New Roman"/>
          <w:sz w:val="24"/>
          <w:szCs w:val="24"/>
        </w:rPr>
        <w:t xml:space="preserve"> и управляют процессом обжига известкового шлама – операторы обжига.</w:t>
      </w:r>
    </w:p>
    <w:p w:rsidR="00DC10EF" w:rsidRDefault="009C66F9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Миксовщик и оператор обжига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в отдельности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</w:t>
      </w:r>
      <w:r w:rsidRPr="0039451B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химические процессы</w:t>
      </w:r>
      <w:r w:rsidR="00244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протекающие во время каустизации и обжига шлама, 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устройство и </w:t>
      </w:r>
      <w:r w:rsidR="00DC10EF">
        <w:rPr>
          <w:rFonts w:ascii="Times New Roman" w:hAnsi="Times New Roman" w:cs="Times New Roman"/>
          <w:sz w:val="24"/>
          <w:szCs w:val="24"/>
        </w:rPr>
        <w:t xml:space="preserve">принцип работы </w:t>
      </w:r>
      <w:r>
        <w:rPr>
          <w:rFonts w:ascii="Times New Roman" w:hAnsi="Times New Roman" w:cs="Times New Roman"/>
          <w:sz w:val="24"/>
          <w:szCs w:val="24"/>
        </w:rPr>
        <w:t xml:space="preserve">основного  и </w:t>
      </w:r>
      <w:r w:rsidR="00DC10EF">
        <w:rPr>
          <w:rFonts w:ascii="Times New Roman" w:hAnsi="Times New Roman" w:cs="Times New Roman"/>
          <w:sz w:val="24"/>
          <w:szCs w:val="24"/>
        </w:rPr>
        <w:t xml:space="preserve"> вспомогательного оборудования. Уметь пользоваться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</w:t>
      </w:r>
      <w:r w:rsidR="00DC10EF">
        <w:rPr>
          <w:rFonts w:ascii="Times New Roman" w:hAnsi="Times New Roman" w:cs="Times New Roman"/>
          <w:sz w:val="24"/>
          <w:szCs w:val="24"/>
        </w:rPr>
        <w:t xml:space="preserve"> запорно-регулирующей армат</w:t>
      </w:r>
      <w:r w:rsidR="00661B03">
        <w:rPr>
          <w:rFonts w:ascii="Times New Roman" w:hAnsi="Times New Roman" w:cs="Times New Roman"/>
          <w:sz w:val="24"/>
          <w:szCs w:val="24"/>
        </w:rPr>
        <w:t>урой,</w:t>
      </w:r>
      <w:r w:rsidR="00244E0D">
        <w:rPr>
          <w:rFonts w:ascii="Times New Roman" w:hAnsi="Times New Roman" w:cs="Times New Roman"/>
          <w:sz w:val="24"/>
          <w:szCs w:val="24"/>
        </w:rPr>
        <w:t xml:space="preserve"> контрольно-измерительными приборами,</w:t>
      </w:r>
      <w:r w:rsidR="00661B03">
        <w:rPr>
          <w:rFonts w:ascii="Times New Roman" w:hAnsi="Times New Roman" w:cs="Times New Roman"/>
          <w:sz w:val="24"/>
          <w:szCs w:val="24"/>
        </w:rPr>
        <w:t xml:space="preserve"> а также коммуникациями, п</w:t>
      </w:r>
      <w:r w:rsidR="00DC10EF">
        <w:rPr>
          <w:rFonts w:ascii="Times New Roman" w:hAnsi="Times New Roman" w:cs="Times New Roman"/>
          <w:sz w:val="24"/>
          <w:szCs w:val="24"/>
        </w:rPr>
        <w:t>о</w:t>
      </w:r>
      <w:r w:rsidR="00661B03">
        <w:rPr>
          <w:rFonts w:ascii="Times New Roman" w:hAnsi="Times New Roman" w:cs="Times New Roman"/>
          <w:sz w:val="24"/>
          <w:szCs w:val="24"/>
        </w:rPr>
        <w:t>д</w:t>
      </w:r>
      <w:r w:rsidR="00DC10EF">
        <w:rPr>
          <w:rFonts w:ascii="Times New Roman" w:hAnsi="Times New Roman" w:cs="Times New Roman"/>
          <w:sz w:val="24"/>
          <w:szCs w:val="24"/>
        </w:rPr>
        <w:t>веденными к</w:t>
      </w:r>
      <w:r w:rsidR="00661B03">
        <w:rPr>
          <w:rFonts w:ascii="Times New Roman" w:hAnsi="Times New Roman" w:cs="Times New Roman"/>
          <w:sz w:val="24"/>
          <w:szCs w:val="24"/>
        </w:rPr>
        <w:t xml:space="preserve"> участку каустизации и печи обжига шлама.</w:t>
      </w:r>
      <w:r w:rsidR="00DC10EF">
        <w:rPr>
          <w:rFonts w:ascii="Times New Roman" w:hAnsi="Times New Roman" w:cs="Times New Roman"/>
          <w:sz w:val="24"/>
          <w:szCs w:val="24"/>
        </w:rPr>
        <w:t xml:space="preserve"> З</w:t>
      </w:r>
      <w:r w:rsidR="00DC10EF" w:rsidRPr="0039451B">
        <w:rPr>
          <w:rFonts w:ascii="Times New Roman" w:hAnsi="Times New Roman" w:cs="Times New Roman"/>
          <w:sz w:val="24"/>
          <w:szCs w:val="24"/>
        </w:rPr>
        <w:t>нать</w:t>
      </w:r>
      <w:r w:rsidR="00DC10EF">
        <w:rPr>
          <w:rFonts w:ascii="Times New Roman" w:hAnsi="Times New Roman" w:cs="Times New Roman"/>
          <w:sz w:val="24"/>
          <w:szCs w:val="24"/>
        </w:rPr>
        <w:t xml:space="preserve"> и уметь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</w:t>
      </w:r>
      <w:r w:rsidR="00DC10EF">
        <w:rPr>
          <w:rFonts w:ascii="Times New Roman" w:hAnsi="Times New Roman" w:cs="Times New Roman"/>
          <w:sz w:val="24"/>
          <w:szCs w:val="24"/>
        </w:rPr>
        <w:t xml:space="preserve">выполнять приемы эксплуатации </w:t>
      </w:r>
      <w:r w:rsidR="00661B03">
        <w:rPr>
          <w:rFonts w:ascii="Times New Roman" w:hAnsi="Times New Roman" w:cs="Times New Roman"/>
          <w:sz w:val="24"/>
          <w:szCs w:val="24"/>
        </w:rPr>
        <w:t xml:space="preserve">обслуживаемого </w:t>
      </w:r>
      <w:r w:rsidR="00DC10EF">
        <w:rPr>
          <w:rFonts w:ascii="Times New Roman" w:hAnsi="Times New Roman" w:cs="Times New Roman"/>
          <w:sz w:val="24"/>
          <w:szCs w:val="24"/>
        </w:rPr>
        <w:t>оборудования  в ручном, дистанционном и автоматическом режиме управления. Знать и уметь выполнять правила пуск</w:t>
      </w:r>
      <w:r w:rsidR="00661B03">
        <w:rPr>
          <w:rFonts w:ascii="Times New Roman" w:hAnsi="Times New Roman" w:cs="Times New Roman"/>
          <w:sz w:val="24"/>
          <w:szCs w:val="24"/>
        </w:rPr>
        <w:t>а и останова всего оборудования</w:t>
      </w:r>
      <w:r w:rsidR="00DC10EF">
        <w:rPr>
          <w:rFonts w:ascii="Times New Roman" w:hAnsi="Times New Roman" w:cs="Times New Roman"/>
          <w:sz w:val="24"/>
          <w:szCs w:val="24"/>
        </w:rPr>
        <w:t>. З</w:t>
      </w:r>
      <w:r w:rsidR="00DC10EF" w:rsidRPr="0039451B">
        <w:rPr>
          <w:rFonts w:ascii="Times New Roman" w:hAnsi="Times New Roman" w:cs="Times New Roman"/>
          <w:sz w:val="24"/>
          <w:szCs w:val="24"/>
        </w:rPr>
        <w:t>нать</w:t>
      </w:r>
      <w:r w:rsidR="00DC10EF">
        <w:rPr>
          <w:rFonts w:ascii="Times New Roman" w:hAnsi="Times New Roman" w:cs="Times New Roman"/>
          <w:sz w:val="24"/>
          <w:szCs w:val="24"/>
        </w:rPr>
        <w:t>, вы</w:t>
      </w:r>
      <w:r w:rsidR="00661B03">
        <w:rPr>
          <w:rFonts w:ascii="Times New Roman" w:hAnsi="Times New Roman" w:cs="Times New Roman"/>
          <w:sz w:val="24"/>
          <w:szCs w:val="24"/>
        </w:rPr>
        <w:t>полнять и требовать с миксовщиков и операторов обжига</w:t>
      </w:r>
      <w:r w:rsidR="00DC10EF">
        <w:rPr>
          <w:rFonts w:ascii="Times New Roman" w:hAnsi="Times New Roman" w:cs="Times New Roman"/>
          <w:sz w:val="24"/>
          <w:szCs w:val="24"/>
        </w:rPr>
        <w:t xml:space="preserve"> </w:t>
      </w:r>
      <w:r w:rsidR="00DC10EF">
        <w:rPr>
          <w:rFonts w:ascii="Times New Roman" w:hAnsi="Times New Roman" w:cs="Times New Roman"/>
          <w:sz w:val="24"/>
          <w:szCs w:val="24"/>
        </w:rPr>
        <w:lastRenderedPageBreak/>
        <w:t>низших разрядов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</w:t>
      </w:r>
      <w:r w:rsidR="00DC10EF">
        <w:rPr>
          <w:rFonts w:ascii="Times New Roman" w:hAnsi="Times New Roman" w:cs="Times New Roman"/>
          <w:sz w:val="24"/>
          <w:szCs w:val="24"/>
        </w:rPr>
        <w:t>и при эксплуатации</w:t>
      </w:r>
      <w:r w:rsidR="00DC10EF" w:rsidRPr="009B5DBC">
        <w:rPr>
          <w:rFonts w:ascii="Times New Roman" w:hAnsi="Times New Roman" w:cs="Times New Roman"/>
          <w:sz w:val="24"/>
          <w:szCs w:val="24"/>
        </w:rPr>
        <w:t xml:space="preserve"> </w:t>
      </w:r>
      <w:r w:rsidR="00661B03">
        <w:rPr>
          <w:rFonts w:ascii="Times New Roman" w:hAnsi="Times New Roman" w:cs="Times New Roman"/>
          <w:sz w:val="24"/>
          <w:szCs w:val="24"/>
        </w:rPr>
        <w:t>обслуживаемого оборудования</w:t>
      </w:r>
      <w:r w:rsidR="00DC10EF" w:rsidRPr="0039451B">
        <w:rPr>
          <w:rFonts w:ascii="Times New Roman" w:hAnsi="Times New Roman" w:cs="Times New Roman"/>
          <w:sz w:val="24"/>
          <w:szCs w:val="24"/>
        </w:rPr>
        <w:t>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hAnsi="Times New Roman" w:cs="Times New Roman"/>
          <w:sz w:val="24"/>
          <w:szCs w:val="24"/>
        </w:rPr>
        <w:t>Существующая нормативная, методическая и учебная документация, профессиональные стандарты, содержащиеся в «Едином тарифно-квалификационном справочнике рабо</w:t>
      </w:r>
      <w:r>
        <w:rPr>
          <w:rFonts w:ascii="Times New Roman" w:hAnsi="Times New Roman" w:cs="Times New Roman"/>
          <w:sz w:val="24"/>
          <w:szCs w:val="24"/>
        </w:rPr>
        <w:t xml:space="preserve">т и профессий рабочих» устарели, поскольку на современных </w:t>
      </w:r>
      <w:r w:rsidR="005760E6">
        <w:rPr>
          <w:rFonts w:ascii="Times New Roman" w:hAnsi="Times New Roman" w:cs="Times New Roman"/>
          <w:sz w:val="24"/>
          <w:szCs w:val="24"/>
        </w:rPr>
        <w:t>предприятиях на участке каустизации используются новые приемы и химические вспомогательные вещества для лучшего отделения известкового шлама. Печи по обжигу шлама</w:t>
      </w:r>
      <w:r>
        <w:rPr>
          <w:rFonts w:ascii="Times New Roman" w:hAnsi="Times New Roman" w:cs="Times New Roman"/>
          <w:sz w:val="24"/>
          <w:szCs w:val="24"/>
        </w:rPr>
        <w:t xml:space="preserve"> в качестве топлива использу</w:t>
      </w:r>
      <w:r w:rsidR="005760E6">
        <w:rPr>
          <w:rFonts w:ascii="Times New Roman" w:hAnsi="Times New Roman" w:cs="Times New Roman"/>
          <w:sz w:val="24"/>
          <w:szCs w:val="24"/>
        </w:rPr>
        <w:t>ется мазут или природный газ, а</w:t>
      </w:r>
      <w:r>
        <w:rPr>
          <w:rFonts w:ascii="Times New Roman" w:hAnsi="Times New Roman" w:cs="Times New Roman"/>
          <w:sz w:val="24"/>
          <w:szCs w:val="24"/>
        </w:rPr>
        <w:t xml:space="preserve"> не дрова.</w:t>
      </w:r>
      <w:r w:rsidRPr="0039451B">
        <w:rPr>
          <w:rFonts w:ascii="Times New Roman" w:hAnsi="Times New Roman" w:cs="Times New Roman"/>
          <w:sz w:val="24"/>
          <w:szCs w:val="24"/>
        </w:rPr>
        <w:t xml:space="preserve"> Это требует разработки новых стандартов с повышени</w:t>
      </w:r>
      <w:r w:rsidR="00661B03">
        <w:rPr>
          <w:rFonts w:ascii="Times New Roman" w:hAnsi="Times New Roman" w:cs="Times New Roman"/>
          <w:sz w:val="24"/>
          <w:szCs w:val="24"/>
        </w:rPr>
        <w:t>ем уровня квалификации миксовщика и оператора обжига</w:t>
      </w:r>
      <w:r w:rsidRPr="0039451B">
        <w:rPr>
          <w:rFonts w:ascii="Times New Roman" w:hAnsi="Times New Roman" w:cs="Times New Roman"/>
          <w:sz w:val="24"/>
          <w:szCs w:val="24"/>
        </w:rPr>
        <w:t>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</w:t>
      </w:r>
      <w:r w:rsidR="00393ED3">
        <w:rPr>
          <w:rFonts w:ascii="Times New Roman" w:eastAsia="Times New Roman" w:hAnsi="Times New Roman" w:cs="Times New Roman"/>
          <w:sz w:val="24"/>
          <w:szCs w:val="24"/>
        </w:rPr>
        <w:t>ности миксовщика и оператора обжига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93ED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93ED3" w:rsidRPr="000C6E92">
        <w:rPr>
          <w:rFonts w:ascii="Times New Roman" w:hAnsi="Times New Roman"/>
          <w:sz w:val="24"/>
          <w:szCs w:val="24"/>
        </w:rPr>
        <w:t xml:space="preserve">егенерация  сульфатных  щелоков и извести из </w:t>
      </w:r>
      <w:r w:rsidR="00393ED3">
        <w:rPr>
          <w:rFonts w:ascii="Times New Roman" w:hAnsi="Times New Roman"/>
          <w:sz w:val="24"/>
          <w:szCs w:val="24"/>
        </w:rPr>
        <w:t xml:space="preserve">известкового </w:t>
      </w:r>
      <w:r w:rsidR="00393ED3" w:rsidRPr="000C6E92">
        <w:rPr>
          <w:rFonts w:ascii="Times New Roman" w:hAnsi="Times New Roman"/>
          <w:sz w:val="24"/>
          <w:szCs w:val="24"/>
        </w:rPr>
        <w:t>шлама белого щелока с п</w:t>
      </w:r>
      <w:r w:rsidR="00393ED3">
        <w:rPr>
          <w:rFonts w:ascii="Times New Roman" w:hAnsi="Times New Roman"/>
          <w:sz w:val="24"/>
          <w:szCs w:val="24"/>
        </w:rPr>
        <w:t>олучением варочного раствора для производства</w:t>
      </w:r>
      <w:r w:rsidR="00393ED3" w:rsidRPr="000C6E92">
        <w:rPr>
          <w:rFonts w:ascii="Times New Roman" w:hAnsi="Times New Roman"/>
          <w:sz w:val="24"/>
          <w:szCs w:val="24"/>
        </w:rPr>
        <w:t xml:space="preserve"> целлюлозы сульфатным способом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>Основная цель профессиональной</w:t>
      </w:r>
      <w:r w:rsidR="00393ED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получение  чистого горячего белого щелока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черного щелока.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Обобщенная трудовая функция  - </w:t>
      </w:r>
      <w:r w:rsidR="00393ED3">
        <w:rPr>
          <w:rFonts w:ascii="Times New Roman" w:eastAsia="Times New Roman" w:hAnsi="Times New Roman" w:cs="Times New Roman"/>
          <w:sz w:val="24"/>
          <w:szCs w:val="24"/>
        </w:rPr>
        <w:t xml:space="preserve">растворение плава черного щелока с получением зеленого щелока, каустизация зеленого щелока с получением </w:t>
      </w:r>
      <w:r w:rsidR="004F1A41">
        <w:rPr>
          <w:rFonts w:ascii="Times New Roman" w:eastAsia="Times New Roman" w:hAnsi="Times New Roman" w:cs="Times New Roman"/>
          <w:sz w:val="24"/>
          <w:szCs w:val="24"/>
        </w:rPr>
        <w:t>белого щелока и известкового шлама и обжиг известкового шлама с получением оксида кальция (негашеной извести)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0EF" w:rsidRPr="0039451B" w:rsidRDefault="00DC10EF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>В связи с этим изменились  и тру</w:t>
      </w:r>
      <w:r w:rsidR="004F1A41">
        <w:rPr>
          <w:rFonts w:ascii="Times New Roman" w:eastAsia="Times New Roman" w:hAnsi="Times New Roman" w:cs="Times New Roman"/>
          <w:sz w:val="24"/>
          <w:szCs w:val="24"/>
        </w:rPr>
        <w:t>довые функции миксовщика и оператора обжига, которым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было осваивать новое оборудование, изучать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внедрять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приемы и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процессы, ориентироваться в работе на современные контрольно-измерительны</w:t>
      </w:r>
      <w:r w:rsidR="004F1A41">
        <w:rPr>
          <w:rFonts w:ascii="Times New Roman" w:eastAsia="Times New Roman" w:hAnsi="Times New Roman" w:cs="Times New Roman"/>
          <w:sz w:val="24"/>
          <w:szCs w:val="24"/>
        </w:rPr>
        <w:t xml:space="preserve">е приборы и управлении процессами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="004F1A41">
        <w:rPr>
          <w:rFonts w:ascii="Times New Roman" w:eastAsia="Times New Roman" w:hAnsi="Times New Roman" w:cs="Times New Roman"/>
          <w:sz w:val="24"/>
          <w:szCs w:val="24"/>
        </w:rPr>
        <w:t>учения  белого щелока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 через АСУТП  с использованием компьютерной техники.</w:t>
      </w:r>
    </w:p>
    <w:p w:rsidR="00DC10EF" w:rsidRDefault="009B7512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каустизации  и  обжига известкового шлама  это многофакторные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и эффективность </w:t>
      </w:r>
      <w:r w:rsidR="00DE1898">
        <w:rPr>
          <w:rFonts w:ascii="Times New Roman" w:hAnsi="Times New Roman" w:cs="Times New Roman"/>
          <w:sz w:val="24"/>
          <w:szCs w:val="24"/>
        </w:rPr>
        <w:t xml:space="preserve">проведенной операции 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зависит от</w:t>
      </w:r>
      <w:r w:rsidR="00DC10EF">
        <w:rPr>
          <w:rFonts w:ascii="Times New Roman" w:hAnsi="Times New Roman" w:cs="Times New Roman"/>
          <w:sz w:val="24"/>
          <w:szCs w:val="24"/>
        </w:rPr>
        <w:t xml:space="preserve"> конструктивных особенностей </w:t>
      </w:r>
      <w:r w:rsidR="00DE18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оборудования каустизации </w:t>
      </w:r>
      <w:r w:rsidR="00DC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печи</w:t>
      </w:r>
      <w:r w:rsidR="00DE189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обжига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, от качества подготовки </w:t>
      </w:r>
      <w:r w:rsidR="00DE1898">
        <w:rPr>
          <w:rFonts w:ascii="Times New Roman" w:hAnsi="Times New Roman" w:cs="Times New Roman"/>
          <w:sz w:val="24"/>
          <w:szCs w:val="24"/>
        </w:rPr>
        <w:t>зеленого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щелока </w:t>
      </w:r>
      <w:r w:rsidR="00DE1898">
        <w:rPr>
          <w:rFonts w:ascii="Times New Roman" w:hAnsi="Times New Roman" w:cs="Times New Roman"/>
          <w:sz w:val="24"/>
          <w:szCs w:val="24"/>
        </w:rPr>
        <w:t>и негашеной извести. Все эти операции контролирую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т </w:t>
      </w:r>
      <w:r w:rsidR="00DE1898">
        <w:rPr>
          <w:rFonts w:ascii="Times New Roman" w:hAnsi="Times New Roman" w:cs="Times New Roman"/>
          <w:sz w:val="24"/>
          <w:szCs w:val="24"/>
        </w:rPr>
        <w:t>и регулируют обслуживающие</w:t>
      </w:r>
      <w:r w:rsidR="00DC10EF" w:rsidRPr="0039451B">
        <w:rPr>
          <w:rFonts w:ascii="Times New Roman" w:hAnsi="Times New Roman" w:cs="Times New Roman"/>
          <w:sz w:val="24"/>
          <w:szCs w:val="24"/>
        </w:rPr>
        <w:t xml:space="preserve"> пер</w:t>
      </w:r>
      <w:r w:rsidR="005A1A95">
        <w:rPr>
          <w:rFonts w:ascii="Times New Roman" w:hAnsi="Times New Roman" w:cs="Times New Roman"/>
          <w:sz w:val="24"/>
          <w:szCs w:val="24"/>
        </w:rPr>
        <w:t>соналы участков ка</w:t>
      </w:r>
      <w:r w:rsidR="00DE1898">
        <w:rPr>
          <w:rFonts w:ascii="Times New Roman" w:hAnsi="Times New Roman" w:cs="Times New Roman"/>
          <w:sz w:val="24"/>
          <w:szCs w:val="24"/>
        </w:rPr>
        <w:t xml:space="preserve">устизации и обжига известкового шлама </w:t>
      </w:r>
      <w:r w:rsidR="00DC10EF" w:rsidRPr="0039451B">
        <w:rPr>
          <w:rFonts w:ascii="Times New Roman" w:hAnsi="Times New Roman" w:cs="Times New Roman"/>
          <w:sz w:val="24"/>
          <w:szCs w:val="24"/>
        </w:rPr>
        <w:t>.</w:t>
      </w:r>
    </w:p>
    <w:p w:rsidR="00DC10EF" w:rsidRPr="0039451B" w:rsidRDefault="00DE1898" w:rsidP="00DC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конструкционной особенности оборудования участка каустизации и </w:t>
      </w:r>
      <w:r w:rsidRPr="00847AB7">
        <w:rPr>
          <w:rFonts w:ascii="Times New Roman" w:hAnsi="Times New Roman" w:cs="Times New Roman"/>
          <w:sz w:val="24"/>
          <w:szCs w:val="24"/>
        </w:rPr>
        <w:t>известерегенерационной печи</w:t>
      </w:r>
      <w:r w:rsidR="00DC10EF">
        <w:rPr>
          <w:rFonts w:ascii="Times New Roman" w:hAnsi="Times New Roman" w:cs="Times New Roman"/>
          <w:sz w:val="24"/>
          <w:szCs w:val="24"/>
        </w:rPr>
        <w:t xml:space="preserve"> </w:t>
      </w:r>
      <w:r w:rsidR="00DC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DC10EF">
        <w:rPr>
          <w:rFonts w:ascii="Times New Roman" w:hAnsi="Times New Roman" w:cs="Times New Roman"/>
          <w:sz w:val="24"/>
          <w:szCs w:val="24"/>
        </w:rPr>
        <w:t xml:space="preserve"> физических </w:t>
      </w:r>
      <w:r>
        <w:rPr>
          <w:rFonts w:ascii="Times New Roman" w:hAnsi="Times New Roman" w:cs="Times New Roman"/>
          <w:sz w:val="24"/>
          <w:szCs w:val="24"/>
        </w:rPr>
        <w:t>данных по концентрации, расходу, температуры и продолжительности процессов</w:t>
      </w:r>
      <w:r w:rsidR="006C3F34">
        <w:rPr>
          <w:rFonts w:ascii="Times New Roman" w:hAnsi="Times New Roman" w:cs="Times New Roman"/>
          <w:sz w:val="24"/>
          <w:szCs w:val="24"/>
        </w:rPr>
        <w:t xml:space="preserve"> миксовщиком и оператором обжига подбираются технологические</w:t>
      </w:r>
      <w:r w:rsidR="00DC10E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6C3F34">
        <w:rPr>
          <w:rFonts w:ascii="Times New Roman" w:hAnsi="Times New Roman" w:cs="Times New Roman"/>
          <w:sz w:val="24"/>
          <w:szCs w:val="24"/>
        </w:rPr>
        <w:t>ы по получению белого щелока при регенерации</w:t>
      </w:r>
      <w:r w:rsidR="00DC10EF">
        <w:rPr>
          <w:rFonts w:ascii="Times New Roman" w:hAnsi="Times New Roman" w:cs="Times New Roman"/>
          <w:sz w:val="24"/>
          <w:szCs w:val="24"/>
        </w:rPr>
        <w:t xml:space="preserve"> черного щелока</w:t>
      </w:r>
      <w:r w:rsidR="006C3F34">
        <w:rPr>
          <w:rFonts w:ascii="Times New Roman" w:hAnsi="Times New Roman" w:cs="Times New Roman"/>
          <w:sz w:val="24"/>
          <w:szCs w:val="24"/>
        </w:rPr>
        <w:t>.</w:t>
      </w:r>
      <w:r w:rsidR="00DC1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EF" w:rsidRPr="008F6F5B" w:rsidRDefault="00DC10EF" w:rsidP="00DC10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31C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F5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F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Описание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1. Обоснование установленного уровня квалификации проведено с учетом квалификационных характеристик. 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1 - Обобщенные трудовые функции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4536"/>
      </w:tblGrid>
      <w:tr w:rsidR="00DC10EF" w:rsidTr="0078798A">
        <w:tc>
          <w:tcPr>
            <w:tcW w:w="675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134" w:type="dxa"/>
          </w:tcPr>
          <w:p w:rsidR="00DC10EF" w:rsidRPr="00E2442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Уровень квалифи-кации</w:t>
            </w:r>
          </w:p>
        </w:tc>
        <w:tc>
          <w:tcPr>
            <w:tcW w:w="4536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уровня</w:t>
            </w:r>
          </w:p>
        </w:tc>
      </w:tr>
      <w:tr w:rsidR="00DC10EF" w:rsidTr="0078798A">
        <w:tc>
          <w:tcPr>
            <w:tcW w:w="675" w:type="dxa"/>
            <w:vAlign w:val="center"/>
          </w:tcPr>
          <w:p w:rsidR="00DC10EF" w:rsidRPr="003139C2" w:rsidRDefault="003139C2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</w:tcPr>
          <w:p w:rsidR="003139C2" w:rsidRDefault="00DC10EF" w:rsidP="00313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3">
              <w:rPr>
                <w:rFonts w:ascii="Times New Roman" w:hAnsi="Times New Roman"/>
                <w:sz w:val="24"/>
                <w:szCs w:val="24"/>
              </w:rPr>
              <w:t>Вести процесс регенерация сульфатного щелока</w:t>
            </w:r>
          </w:p>
          <w:p w:rsidR="00DC10EF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10EF" w:rsidRPr="009C5243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квалификации, позволяющий вести</w:t>
            </w:r>
            <w:r w:rsidR="00BE0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 регенерации сульфатного щелока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Осуществлять обслуживание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оборудования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</w:t>
            </w:r>
            <w:r w:rsidR="00BE0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 участк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каустизации сульфатного </w:t>
            </w:r>
            <w:r w:rsidR="00BE0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щелока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A1A95">
              <w:rPr>
                <w:rFonts w:ascii="Times New Roman" w:hAnsi="Times New Roman"/>
                <w:sz w:val="24"/>
                <w:szCs w:val="24"/>
              </w:rPr>
              <w:t xml:space="preserve"> Запускать в работу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 w:rsidR="005A1A95">
              <w:rPr>
                <w:rFonts w:ascii="Times New Roman" w:hAnsi="Times New Roman"/>
                <w:sz w:val="24"/>
                <w:szCs w:val="24"/>
              </w:rPr>
              <w:t>роцессом каустизации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миксовщика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квалификации осуществляется под руководством сменного мастера с проявлением самостоятельности при решении практических 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 по регенерации сульфатного щелока, запуску 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наблюдением за тех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нологическим процессом. Миксовщик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несет индивидуальную 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процесс каустизации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состояние коммуникаций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вверенного участка.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Выбор способа решения этих задач основан на базовых знаниях и практическом опыте с применением специальных умений.  </w:t>
            </w:r>
          </w:p>
          <w:p w:rsidR="00DC10E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DC10E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</w:tc>
      </w:tr>
      <w:tr w:rsidR="00DC10EF" w:rsidTr="00FA3A08">
        <w:tc>
          <w:tcPr>
            <w:tcW w:w="675" w:type="dxa"/>
            <w:vAlign w:val="center"/>
          </w:tcPr>
          <w:p w:rsidR="00DC10EF" w:rsidRDefault="00FA3A08" w:rsidP="00FA3A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402" w:type="dxa"/>
            <w:vAlign w:val="center"/>
          </w:tcPr>
          <w:p w:rsidR="00DC10EF" w:rsidRDefault="00FA3A08" w:rsidP="00FA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обжига  шлама белого щелока</w:t>
            </w:r>
          </w:p>
        </w:tc>
        <w:tc>
          <w:tcPr>
            <w:tcW w:w="1134" w:type="dxa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76075" w:rsidRPr="00976075" w:rsidRDefault="00DC10EF" w:rsidP="0097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квалификации, позволяющий вести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 обжига известкового шлама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Осуществлять обслуживание </w:t>
            </w:r>
            <w:r w:rsidR="005A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оборудования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</w:t>
            </w:r>
            <w:r w:rsidR="00976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 известерегенерационной печи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76075">
              <w:rPr>
                <w:rFonts w:ascii="Times New Roman" w:hAnsi="Times New Roman"/>
                <w:sz w:val="24"/>
                <w:szCs w:val="24"/>
              </w:rPr>
              <w:t xml:space="preserve"> Запускать в работу печь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 w:rsidR="00976075">
              <w:rPr>
                <w:rFonts w:ascii="Times New Roman" w:hAnsi="Times New Roman"/>
                <w:sz w:val="24"/>
                <w:szCs w:val="24"/>
              </w:rPr>
              <w:t>роцессом обжига известкового шлама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6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аппаратчика обжига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квалификации осуществляется под руководством сменного мастера с проявлением самостоятельности при решении практических </w:t>
            </w:r>
            <w:r w:rsidR="00976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 по обжигу известкового шлама, запуску печи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наблюдением за технологическим процессом. </w:t>
            </w:r>
            <w:r w:rsidR="00976075">
              <w:rPr>
                <w:rFonts w:ascii="Times New Roman" w:hAnsi="Times New Roman"/>
                <w:sz w:val="24"/>
                <w:szCs w:val="24"/>
              </w:rPr>
              <w:t>Контролировать  процесс обжига по контрольно-измерительной аппаратуре, выявление нарушений технологического режима обжига, понижающих качество выпускаемой продукции.</w:t>
            </w:r>
          </w:p>
          <w:p w:rsidR="00976075" w:rsidRPr="00976075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 умений должен позволить решать различные практические задачи  в части оценки состояния работоспособности обслуживаемого оборудования, качества ис</w:t>
            </w:r>
            <w:r w:rsidR="00976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ходных составляющих для обжига и качество выпускаемого продукту – оксида кальция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A3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таких задач зависит от различных ситуаций, требующих их анализа и принятия самостоятельных решений.</w:t>
            </w:r>
          </w:p>
          <w:p w:rsidR="00DC10EF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решения  этих задач необходимо понимание методических основ по</w:t>
            </w:r>
            <w:r w:rsidR="00976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лучения негашеной извести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C10E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DC10E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  <w:p w:rsidR="00DC10EF" w:rsidRDefault="00DC10EF" w:rsidP="00787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10EF" w:rsidRDefault="00DC10EF" w:rsidP="00DC10EF">
      <w:pPr>
        <w:pStyle w:val="a3"/>
        <w:ind w:left="786"/>
      </w:pPr>
    </w:p>
    <w:p w:rsidR="00DC10EF" w:rsidRDefault="00DC10EF" w:rsidP="00DC10EF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 Состав трудовых функций и обоснование их отнесения к конкретным уровням (подуровням) квалификации</w:t>
      </w:r>
    </w:p>
    <w:p w:rsidR="00DC10EF" w:rsidRDefault="00DC10EF" w:rsidP="00DC10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Описание состава трудовых функций и отнесение их к конкретным уровням квалификации представлены в таблице 2.</w:t>
      </w:r>
    </w:p>
    <w:p w:rsidR="00DC10EF" w:rsidRDefault="00DC10EF" w:rsidP="00DC10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2 - Трудовые функции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DC10EF" w:rsidTr="0078798A">
        <w:tc>
          <w:tcPr>
            <w:tcW w:w="5778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808" w:type="dxa"/>
            <w:vAlign w:val="center"/>
          </w:tcPr>
          <w:p w:rsidR="00DC10EF" w:rsidRDefault="00DC10EF" w:rsidP="00787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</w:tc>
      </w:tr>
      <w:tr w:rsidR="00DC10EF" w:rsidTr="0078798A">
        <w:tc>
          <w:tcPr>
            <w:tcW w:w="5778" w:type="dxa"/>
          </w:tcPr>
          <w:p w:rsidR="00DC10EF" w:rsidRPr="004C71FB" w:rsidRDefault="00AC44DD" w:rsidP="0078798A">
            <w:pPr>
              <w:rPr>
                <w:rFonts w:ascii="Times New Roman" w:hAnsi="Times New Roman"/>
                <w:sz w:val="24"/>
                <w:szCs w:val="24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оборудования по регенерации сульфатного щелока </w:t>
            </w:r>
            <w:r w:rsidRPr="001F1861">
              <w:rPr>
                <w:sz w:val="24"/>
                <w:szCs w:val="24"/>
              </w:rPr>
              <w:t xml:space="preserve">в соответствии с требованиями охраны труда, техники безопасности и </w:t>
            </w:r>
            <w:r w:rsidRPr="001F1861">
              <w:rPr>
                <w:sz w:val="24"/>
                <w:szCs w:val="24"/>
              </w:rPr>
              <w:lastRenderedPageBreak/>
              <w:t>технологическим регламентом</w:t>
            </w:r>
          </w:p>
        </w:tc>
        <w:tc>
          <w:tcPr>
            <w:tcW w:w="1985" w:type="dxa"/>
            <w:vAlign w:val="center"/>
          </w:tcPr>
          <w:p w:rsidR="00DC10EF" w:rsidRPr="004C71FB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lastRenderedPageBreak/>
              <w:t>А/01.3</w:t>
            </w:r>
          </w:p>
        </w:tc>
        <w:tc>
          <w:tcPr>
            <w:tcW w:w="1808" w:type="dxa"/>
            <w:vAlign w:val="center"/>
          </w:tcPr>
          <w:p w:rsidR="00DC10EF" w:rsidRPr="004C71FB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0EF" w:rsidTr="0078798A">
        <w:tc>
          <w:tcPr>
            <w:tcW w:w="5778" w:type="dxa"/>
            <w:vAlign w:val="center"/>
          </w:tcPr>
          <w:p w:rsidR="00DC10EF" w:rsidRPr="004C71FB" w:rsidRDefault="00AC44DD" w:rsidP="0078798A">
            <w:pPr>
              <w:rPr>
                <w:rFonts w:ascii="Times New Roman" w:hAnsi="Times New Roman"/>
                <w:sz w:val="24"/>
                <w:szCs w:val="24"/>
              </w:rPr>
            </w:pPr>
            <w:r w:rsidRPr="001F1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Регулирование технологических параметров работы оборудования по регенерации сульфатного щелока </w:t>
            </w:r>
            <w:r w:rsidRPr="001F1861">
              <w:rPr>
                <w:sz w:val="24"/>
                <w:szCs w:val="24"/>
              </w:rPr>
              <w:t>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DC10EF" w:rsidRPr="004C71FB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808" w:type="dxa"/>
            <w:vAlign w:val="center"/>
          </w:tcPr>
          <w:p w:rsidR="00DC10EF" w:rsidRPr="004C71FB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0EF" w:rsidTr="0078798A">
        <w:tc>
          <w:tcPr>
            <w:tcW w:w="5778" w:type="dxa"/>
            <w:vAlign w:val="center"/>
          </w:tcPr>
          <w:p w:rsidR="00DC10EF" w:rsidRPr="00AC44DD" w:rsidRDefault="00AC44DD" w:rsidP="007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DD">
              <w:rPr>
                <w:rFonts w:ascii="Times New Roman" w:hAnsi="Times New Roman" w:cs="Times New Roman"/>
                <w:sz w:val="24"/>
                <w:szCs w:val="24"/>
              </w:rPr>
              <w:t>Прием и сдача смены на участке регенерации сульфатного щелока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DC10EF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="00DC10EF"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 w:rsidR="00DC1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DC10EF" w:rsidRPr="004C71FB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4DD" w:rsidTr="00503DC1">
        <w:tc>
          <w:tcPr>
            <w:tcW w:w="5778" w:type="dxa"/>
          </w:tcPr>
          <w:p w:rsidR="00AC44DD" w:rsidRPr="00F93DC9" w:rsidRDefault="00AC44DD" w:rsidP="00503DC1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>Эксплуатационное обслуживание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4DD" w:rsidTr="00503DC1">
        <w:tc>
          <w:tcPr>
            <w:tcW w:w="5778" w:type="dxa"/>
          </w:tcPr>
          <w:p w:rsidR="00AC44DD" w:rsidRPr="00F93DC9" w:rsidRDefault="00AC44DD" w:rsidP="00503DC1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 xml:space="preserve"> Регулирование технологических параметров работы оборудования по обжигу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4DD" w:rsidTr="00503DC1">
        <w:tc>
          <w:tcPr>
            <w:tcW w:w="5778" w:type="dxa"/>
          </w:tcPr>
          <w:p w:rsidR="00AC44DD" w:rsidRPr="00F93DC9" w:rsidRDefault="00AC44DD" w:rsidP="00503DC1">
            <w:pPr>
              <w:rPr>
                <w:rFonts w:ascii="Times New Roman" w:hAnsi="Times New Roman"/>
                <w:sz w:val="24"/>
                <w:szCs w:val="24"/>
              </w:rPr>
            </w:pPr>
            <w:r w:rsidRPr="00BF36A8">
              <w:rPr>
                <w:rFonts w:ascii="Times New Roman" w:hAnsi="Times New Roman"/>
                <w:sz w:val="24"/>
                <w:szCs w:val="24"/>
              </w:rPr>
              <w:t xml:space="preserve"> Прием и сдача смены на участке обжига известкового шлама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AC44DD" w:rsidRPr="004C71FB" w:rsidRDefault="00AC44DD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C10EF" w:rsidRDefault="00DC10EF" w:rsidP="00DC10EF"/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Отнесение трудовых функций к указанным выше уровням квалификации обосновано их соответствием уровням квалификации, предусмотренным Положением к приказу Министерства труда и социальной защиты Российской Федерации от 12.04.2013 г №148н «Уровни квалификации в целях разработки профессиональных стандартов».</w:t>
      </w:r>
    </w:p>
    <w:p w:rsidR="00DC10EF" w:rsidRDefault="00DC10EF" w:rsidP="00DC1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Уровни квалификации, предложенные в профессиональном стандарте, и уровни квалификации, предусмотренные в Положении к приказу  от 12.04.2013 г №148н, 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DC10EF" w:rsidRPr="00E95644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>Раздел 2.  Основные этапы разработки проекта профессионального стандарта</w:t>
      </w:r>
    </w:p>
    <w:p w:rsidR="00DC10EF" w:rsidRPr="008B5074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2.1 Этапы разработки профессионального стандарта: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2.1.1. Проведение анализа: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- российских и международных профессиональных стандартов рабочих специальностей в области  целлюлозно-бумажной промышленности и по схожим видам  профессиональной деятельности других отраслей;</w:t>
      </w:r>
    </w:p>
    <w:p w:rsidR="00DC10EF" w:rsidRPr="00B13427" w:rsidRDefault="00DC10EF" w:rsidP="00DC10E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427">
        <w:rPr>
          <w:rFonts w:ascii="Times New Roman" w:hAnsi="Times New Roman" w:cs="Times New Roman"/>
          <w:sz w:val="24"/>
          <w:szCs w:val="24"/>
        </w:rPr>
        <w:t xml:space="preserve">  -  профессиональной деятельности с учетом отечественных и международных тенденций; 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-  состояния и перспектив развития соответствующего вида -  квалификационных   характеристик,  содержащихся  в Едином тарифно-квалификационном </w:t>
      </w:r>
      <w:hyperlink r:id="rId8" w:history="1">
        <w:r w:rsidRPr="00B13427">
          <w:rPr>
            <w:rFonts w:ascii="Times New Roman" w:hAnsi="Times New Roman" w:cs="Times New Roman"/>
            <w:sz w:val="24"/>
            <w:szCs w:val="24"/>
          </w:rPr>
          <w:t>справочнике</w:t>
        </w:r>
      </w:hyperlink>
      <w:r w:rsidRPr="00B13427">
        <w:rPr>
          <w:rFonts w:ascii="Times New Roman" w:hAnsi="Times New Roman" w:cs="Times New Roman"/>
          <w:sz w:val="24"/>
          <w:szCs w:val="24"/>
        </w:rPr>
        <w:t xml:space="preserve"> работ и профессий рабочих; 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lastRenderedPageBreak/>
        <w:t>- наличие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2.1.2. Направление в Министерство труда и социальной защиты Российской Федерации уведомление о разработке проекта профессионального  стандарта.  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2.1.3. Разработка и согласование проекта профессионального стандарта.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2.1.4.  Информирование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сайтах  РАО «Бумпром» и ОАО «ЦНИИБ».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2.1.5. Проведение мониторинга технологий и содержания профессиональной деятельности в целях внесения изменений в проект профессиональный стандарт.</w:t>
      </w:r>
    </w:p>
    <w:p w:rsidR="00DC10EF" w:rsidRPr="00B13427" w:rsidRDefault="00DC10EF" w:rsidP="00DC10E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2.1.6. Представление  в Министерство труда и социальной защиты Российской Федерации информации о ходе разработки проектов профессиональных стандартов. </w:t>
      </w:r>
    </w:p>
    <w:p w:rsidR="00DC10EF" w:rsidRPr="00B13427" w:rsidRDefault="00DC10EF" w:rsidP="00DC10E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         2.1.7.</w:t>
      </w:r>
      <w:r w:rsidRPr="00B13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427">
        <w:rPr>
          <w:rFonts w:ascii="Times New Roman" w:hAnsi="Times New Roman" w:cs="Times New Roman"/>
          <w:sz w:val="24"/>
          <w:szCs w:val="24"/>
        </w:rPr>
        <w:t>Обсуждение проекта профессионального стандарта, сбор отзывов и доработка проекта с учетом поступивших замечаний.</w:t>
      </w:r>
    </w:p>
    <w:p w:rsidR="00DC10EF" w:rsidRDefault="00DC10EF" w:rsidP="00DC10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2.2 Сведения об организациях, привлеченных к разработке и согласованию проекта профессионального стандарта</w:t>
      </w:r>
    </w:p>
    <w:p w:rsidR="00DC10EF" w:rsidRDefault="00DC10EF" w:rsidP="00DC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t xml:space="preserve">Ответственная организация-разработчик профессионального стандарта ООО «Российский союз промышленников и предпринимателей» привлекла к организации и проведению разработки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</w:t>
      </w:r>
      <w:r w:rsidRPr="00CB651C">
        <w:rPr>
          <w:rFonts w:ascii="Times New Roman" w:hAnsi="Times New Roman" w:cs="Times New Roman"/>
          <w:sz w:val="24"/>
          <w:szCs w:val="24"/>
        </w:rPr>
        <w:t>», как ведущих специалистов в области целлюлозно-бумажного производства.  Специалисты данных организаций  выполняют научно-исследовательские и методические работы, экспертизы  в данной области.</w:t>
      </w:r>
      <w:r w:rsidRPr="00D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EF" w:rsidRPr="00CB651C" w:rsidRDefault="00DC10EF" w:rsidP="00DC10E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t xml:space="preserve">В перспективе деятельность по апробации, внедрению и актуализации профессионального стандарта будет вести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«Бумпром».</w:t>
      </w:r>
    </w:p>
    <w:p w:rsidR="00DC10EF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Сведения об организациях, привлеченных к разработке и согласованию проекта профессионального стандарта, приведены в приложении 1.</w:t>
      </w:r>
    </w:p>
    <w:p w:rsidR="00DC10EF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к проведению исследования в процессе разработки профессионального стандарта были привлечены компетентные организации. Их выбор осуществлялся на основе  следующих критериев:</w:t>
      </w:r>
    </w:p>
    <w:p w:rsidR="00DC10EF" w:rsidRDefault="00DC10EF" w:rsidP="00DC10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список организаций включает организации из разных субъектов Российской Федерации;</w:t>
      </w:r>
    </w:p>
    <w:p w:rsidR="00DC10EF" w:rsidRDefault="00DC10EF" w:rsidP="00DC10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среди организаций представлены организации, область деятельности которых связана с лесозаготовительным и деревообрабатывающим производством;</w:t>
      </w:r>
    </w:p>
    <w:p w:rsidR="00DC10EF" w:rsidRDefault="00DC10EF" w:rsidP="00DC10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организации обладают  специалистами -  экспертами, удовлетворяющими требованиям, описанным в п.2.3 данной пояснительной записки.</w:t>
      </w:r>
    </w:p>
    <w:p w:rsidR="00DC10EF" w:rsidRDefault="00DC10EF" w:rsidP="00DC1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Организации, с которыми нужно согласовывать проект стандарта, отсутствуют.</w:t>
      </w:r>
    </w:p>
    <w:p w:rsidR="00DC10EF" w:rsidRPr="008B5074" w:rsidRDefault="00DC10EF" w:rsidP="00DC10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C10EF" w:rsidRPr="008B5074" w:rsidRDefault="00DC10EF" w:rsidP="00DC10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2.3 Требования к экспертам, привлекаемым к разработке проекта профессионального стандарта</w:t>
      </w:r>
    </w:p>
    <w:p w:rsidR="00DC10EF" w:rsidRPr="00504E44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При подборе экспертов для разработки профессионально</w:t>
      </w:r>
      <w:r>
        <w:rPr>
          <w:rFonts w:ascii="Times New Roman" w:hAnsi="Times New Roman" w:cs="Times New Roman"/>
          <w:sz w:val="24"/>
        </w:rPr>
        <w:t>го стандарта «</w:t>
      </w:r>
      <w:r>
        <w:rPr>
          <w:rFonts w:ascii="Times New Roman" w:hAnsi="Times New Roman" w:cs="Times New Roman"/>
          <w:sz w:val="24"/>
          <w:lang w:val="en-US"/>
        </w:rPr>
        <w:t>Cjljdobr</w:t>
      </w:r>
      <w:r w:rsidRPr="00504E44">
        <w:rPr>
          <w:rFonts w:ascii="Times New Roman" w:hAnsi="Times New Roman" w:cs="Times New Roman"/>
          <w:sz w:val="24"/>
        </w:rPr>
        <w:t xml:space="preserve">» ОООР «Бумпром» и ОАО «ЦНИИБ» исходили из соображений компетентности привлекаемых экспертов, их способности к исследованию и всестороннему анализу необходимых материалов, </w:t>
      </w:r>
      <w:r>
        <w:rPr>
          <w:rFonts w:ascii="Times New Roman" w:hAnsi="Times New Roman" w:cs="Times New Roman"/>
          <w:sz w:val="24"/>
        </w:rPr>
        <w:t>их опыта разработки инструкций</w:t>
      </w:r>
      <w:r w:rsidRPr="00504E44">
        <w:rPr>
          <w:rFonts w:ascii="Times New Roman" w:hAnsi="Times New Roman" w:cs="Times New Roman"/>
          <w:sz w:val="24"/>
        </w:rPr>
        <w:t>, а также умения работать в команде.</w:t>
      </w:r>
    </w:p>
    <w:p w:rsidR="00DC10EF" w:rsidRPr="00504E44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К разработке данного профессионального стандарта привлечены эксперты, работающие на предприятиях целлюлозно-бумажной промышленности: ОАО «Соликамскбумпром»,  ОАО «Архангельский ЦБК», ОАО «Группа «Илим», в т.ч. в филиалах Группы в г. Братск и г. Коряжма, ОАО «Маяк», ОАО «Се</w:t>
      </w:r>
      <w:r w:rsidR="00AC44DD">
        <w:rPr>
          <w:rFonts w:ascii="Times New Roman" w:hAnsi="Times New Roman" w:cs="Times New Roman"/>
          <w:sz w:val="24"/>
        </w:rPr>
        <w:t>гежский ЦБК», ОАО «Сибгипробум», ОА «Монди СЛПК»</w:t>
      </w:r>
    </w:p>
    <w:p w:rsidR="00DC10EF" w:rsidRDefault="00DC10EF" w:rsidP="00DC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 xml:space="preserve">Кроме экспертов с предприятий ЦБП </w:t>
      </w:r>
      <w:r>
        <w:rPr>
          <w:rFonts w:ascii="Times New Roman" w:hAnsi="Times New Roman" w:cs="Times New Roman"/>
          <w:sz w:val="24"/>
        </w:rPr>
        <w:t>к</w:t>
      </w:r>
      <w:r w:rsidRPr="00504E44">
        <w:rPr>
          <w:rFonts w:ascii="Times New Roman" w:hAnsi="Times New Roman" w:cs="Times New Roman"/>
          <w:sz w:val="24"/>
        </w:rPr>
        <w:t xml:space="preserve"> разработке профессиональн</w:t>
      </w:r>
      <w:r>
        <w:rPr>
          <w:rFonts w:ascii="Times New Roman" w:hAnsi="Times New Roman" w:cs="Times New Roman"/>
          <w:sz w:val="24"/>
        </w:rPr>
        <w:t>ого стандарта</w:t>
      </w:r>
      <w:r w:rsidRPr="00504E44">
        <w:rPr>
          <w:rFonts w:ascii="Times New Roman" w:hAnsi="Times New Roman" w:cs="Times New Roman"/>
          <w:sz w:val="24"/>
        </w:rPr>
        <w:t xml:space="preserve"> привлечены представители Р</w:t>
      </w:r>
      <w:r>
        <w:rPr>
          <w:rFonts w:ascii="Times New Roman" w:hAnsi="Times New Roman" w:cs="Times New Roman"/>
          <w:sz w:val="24"/>
        </w:rPr>
        <w:t>АО</w:t>
      </w:r>
      <w:r w:rsidRPr="00504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«Бумпром</w:t>
      </w:r>
      <w:r w:rsidRPr="00504E44">
        <w:rPr>
          <w:rFonts w:ascii="Times New Roman" w:hAnsi="Times New Roman" w:cs="Times New Roman"/>
          <w:sz w:val="24"/>
        </w:rPr>
        <w:t>», ФГБОУ ВПО «Санкт - Петербургский ГТУ растительных полимеров», Профсоюза работников лесных отраслей Российской Федерации.  Представители (</w:t>
      </w:r>
      <w:r>
        <w:rPr>
          <w:rFonts w:ascii="Times New Roman" w:hAnsi="Times New Roman" w:cs="Times New Roman"/>
          <w:sz w:val="24"/>
        </w:rPr>
        <w:t>эксперты) указанных организаций</w:t>
      </w:r>
      <w:r w:rsidRPr="00504E44">
        <w:rPr>
          <w:rFonts w:ascii="Times New Roman" w:hAnsi="Times New Roman" w:cs="Times New Roman"/>
          <w:sz w:val="24"/>
        </w:rPr>
        <w:t xml:space="preserve"> 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DC10EF" w:rsidRPr="00636041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1">
        <w:rPr>
          <w:rFonts w:ascii="Times New Roman" w:hAnsi="Times New Roman"/>
          <w:b/>
          <w:sz w:val="24"/>
          <w:szCs w:val="24"/>
        </w:rPr>
        <w:t>2.4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  <w:r w:rsidRPr="007C7E27">
        <w:rPr>
          <w:rFonts w:ascii="Times New Roman" w:hAnsi="Times New Roman"/>
          <w:i/>
          <w:sz w:val="24"/>
          <w:szCs w:val="24"/>
        </w:rPr>
        <w:t xml:space="preserve">. 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1F7AAE"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 w:rsidRPr="007C7E27">
        <w:rPr>
          <w:rFonts w:ascii="Times New Roman" w:hAnsi="Times New Roman"/>
          <w:sz w:val="24"/>
          <w:szCs w:val="24"/>
        </w:rPr>
        <w:t>»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1.Постановление Правительства Российской Федерации от 22 января 2013 г. №23 «О Правилах разработки, утверждения и применения профессиональных стандартов».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2. Макет профессионального стандарта, утвержденном приказом Министерства труда и социальной защиты Российской Федерации от 12.04.2013 № 147н, 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3. Уровни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4. Методические рекомендации по разработке профессионального стандарта, утвержденных приказом Министерства труда и социальной защиты Российской Федерации от «29» апреля 2013 г. № 170н и др.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lastRenderedPageBreak/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Трудового кодекса Российской Федерации (в действующей редакции);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DC10EF" w:rsidRPr="004672A4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</w:t>
      </w:r>
      <w:r w:rsidRPr="004672A4">
        <w:rPr>
          <w:rFonts w:ascii="Times New Roman" w:hAnsi="Times New Roman"/>
          <w:sz w:val="24"/>
          <w:szCs w:val="24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15.05.2013)).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DC10EF" w:rsidRPr="007C7E27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Общероссийским классификатором занятий (Постановление Госкомстата России от 30.12.1993, № 298);</w:t>
      </w:r>
    </w:p>
    <w:p w:rsidR="00DC10EF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Общероссийским классификатором видов 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>(ОКВЭД2) ОК 029-2014</w:t>
      </w:r>
      <w:r w:rsidRPr="007C7E27">
        <w:rPr>
          <w:rFonts w:ascii="Times New Roman" w:hAnsi="Times New Roman"/>
          <w:sz w:val="24"/>
          <w:szCs w:val="24"/>
        </w:rPr>
        <w:t xml:space="preserve">; </w:t>
      </w:r>
    </w:p>
    <w:p w:rsidR="00DC10EF" w:rsidRPr="004672A4" w:rsidRDefault="00DC10EF" w:rsidP="00DC10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0EF" w:rsidRPr="00E95644" w:rsidRDefault="00DC10EF" w:rsidP="00DC10EF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 xml:space="preserve">Раздел 3. Обсуждение проекта профессионального стандарта </w:t>
      </w:r>
    </w:p>
    <w:p w:rsidR="00DC10EF" w:rsidRDefault="00DC10EF" w:rsidP="005E4E41">
      <w:pPr>
        <w:tabs>
          <w:tab w:val="left" w:pos="-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о</w:t>
      </w:r>
      <w:r w:rsidRPr="00F96ACC">
        <w:rPr>
          <w:rFonts w:ascii="Times New Roman" w:hAnsi="Times New Roman" w:cs="Times New Roman"/>
          <w:sz w:val="24"/>
          <w:szCs w:val="24"/>
        </w:rPr>
        <w:t xml:space="preserve">бсуждение проекта профессионального стандарта </w:t>
      </w:r>
      <w:r w:rsidR="001F7AAE">
        <w:rPr>
          <w:rFonts w:ascii="Times New Roman" w:hAnsi="Times New Roman" w:cs="Times New Roman"/>
          <w:sz w:val="24"/>
          <w:szCs w:val="24"/>
        </w:rPr>
        <w:t>«</w:t>
      </w:r>
      <w:r w:rsidR="001F7AAE"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проводилось путем:</w:t>
      </w:r>
    </w:p>
    <w:p w:rsidR="006E1514" w:rsidRDefault="006E1514" w:rsidP="005E4E4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D354D">
        <w:rPr>
          <w:rFonts w:ascii="Times New Roman" w:hAnsi="Times New Roman"/>
          <w:sz w:val="24"/>
          <w:szCs w:val="24"/>
        </w:rPr>
        <w:t>Размещени</w:t>
      </w:r>
      <w:r w:rsidR="005E4E41">
        <w:rPr>
          <w:rFonts w:ascii="Times New Roman" w:hAnsi="Times New Roman"/>
          <w:sz w:val="24"/>
          <w:szCs w:val="24"/>
        </w:rPr>
        <w:t>я</w:t>
      </w:r>
      <w:r w:rsidRPr="00BD354D">
        <w:rPr>
          <w:rFonts w:ascii="Times New Roman" w:hAnsi="Times New Roman"/>
          <w:sz w:val="24"/>
          <w:szCs w:val="24"/>
        </w:rPr>
        <w:t xml:space="preserve"> информации о разработке профессиональн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D354D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а</w:t>
      </w:r>
      <w:r w:rsidRPr="00BD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D354D">
        <w:rPr>
          <w:rFonts w:ascii="Times New Roman" w:hAnsi="Times New Roman"/>
          <w:sz w:val="24"/>
          <w:szCs w:val="24"/>
        </w:rPr>
        <w:t xml:space="preserve">на сайте </w:t>
      </w:r>
    </w:p>
    <w:p w:rsidR="006E1514" w:rsidRPr="005E4E41" w:rsidRDefault="006E1514" w:rsidP="005E4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354D">
        <w:rPr>
          <w:rFonts w:ascii="Times New Roman" w:hAnsi="Times New Roman"/>
          <w:sz w:val="24"/>
          <w:szCs w:val="24"/>
        </w:rPr>
        <w:t xml:space="preserve">РАО «Бумпром»  </w:t>
      </w:r>
      <w:hyperlink r:id="rId9" w:history="1">
        <w:r w:rsidRPr="005E4E41">
          <w:rPr>
            <w:rStyle w:val="a5"/>
            <w:rFonts w:ascii="Times New Roman" w:hAnsi="Times New Roman"/>
            <w:color w:val="auto"/>
            <w:sz w:val="24"/>
            <w:szCs w:val="24"/>
          </w:rPr>
          <w:t>http://www.bumprom.ru/index.php?ids=292&amp;sub_id=23622</w:t>
        </w:r>
      </w:hyperlink>
      <w:r w:rsidRPr="005E4E41">
        <w:rPr>
          <w:rFonts w:ascii="Times New Roman" w:hAnsi="Times New Roman"/>
          <w:sz w:val="24"/>
          <w:szCs w:val="24"/>
        </w:rPr>
        <w:t xml:space="preserve">  14.05.2015г.</w:t>
      </w:r>
    </w:p>
    <w:p w:rsidR="006E1514" w:rsidRPr="005E4E41" w:rsidRDefault="005E4E41" w:rsidP="005E4E4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E4E41">
        <w:rPr>
          <w:rFonts w:ascii="Times New Roman" w:hAnsi="Times New Roman"/>
          <w:sz w:val="24"/>
          <w:szCs w:val="24"/>
        </w:rPr>
        <w:t>Размещения</w:t>
      </w:r>
      <w:r w:rsidR="006E1514" w:rsidRPr="005E4E41">
        <w:rPr>
          <w:rFonts w:ascii="Times New Roman" w:hAnsi="Times New Roman"/>
          <w:sz w:val="24"/>
          <w:szCs w:val="24"/>
        </w:rPr>
        <w:t xml:space="preserve"> информации о разработке профессионального стандарта  «</w:t>
      </w:r>
      <w:r w:rsidR="006E1514" w:rsidRPr="005E4E41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 w:rsidR="006E1514" w:rsidRPr="005E4E41">
        <w:rPr>
          <w:rFonts w:ascii="Times New Roman" w:hAnsi="Times New Roman"/>
          <w:sz w:val="24"/>
          <w:szCs w:val="24"/>
        </w:rPr>
        <w:t>» на сайте ОАО «ЦНИИБ» http://tsniib.ru/news/ - 15.05.2015г.</w:t>
      </w:r>
    </w:p>
    <w:p w:rsidR="006E1514" w:rsidRPr="00BD354D" w:rsidRDefault="006E1514" w:rsidP="005E4E4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E4E41">
        <w:rPr>
          <w:rFonts w:ascii="Times New Roman" w:hAnsi="Times New Roman"/>
          <w:sz w:val="24"/>
          <w:szCs w:val="24"/>
        </w:rPr>
        <w:t>Размещени</w:t>
      </w:r>
      <w:r w:rsidR="005E4E41" w:rsidRPr="005E4E41">
        <w:rPr>
          <w:rFonts w:ascii="Times New Roman" w:hAnsi="Times New Roman"/>
          <w:sz w:val="24"/>
          <w:szCs w:val="24"/>
        </w:rPr>
        <w:t>я</w:t>
      </w:r>
      <w:r w:rsidRPr="005E4E41">
        <w:rPr>
          <w:rFonts w:ascii="Times New Roman" w:hAnsi="Times New Roman"/>
          <w:sz w:val="24"/>
          <w:szCs w:val="24"/>
        </w:rPr>
        <w:t xml:space="preserve"> информации о разработке профессиональных стандартов на форуме сайта ОАО «ЦНИИБ» </w:t>
      </w:r>
      <w:hyperlink r:id="rId10" w:anchor="message12" w:history="1">
        <w:r w:rsidRPr="005E4E41">
          <w:rPr>
            <w:rStyle w:val="a5"/>
            <w:rFonts w:ascii="Times New Roman" w:hAnsi="Times New Roman"/>
            <w:color w:val="auto"/>
            <w:sz w:val="24"/>
            <w:szCs w:val="24"/>
          </w:rPr>
          <w:t>http://tsniib.ru/forum/messages/forum1/message12/1-obsuzhdenie-professionalnykh-standartov-v-oblasti-tsellyuloznobumazhno#message12</w:t>
        </w:r>
      </w:hyperlink>
      <w:r w:rsidRPr="00BD354D">
        <w:rPr>
          <w:rFonts w:ascii="Times New Roman" w:hAnsi="Times New Roman"/>
          <w:sz w:val="24"/>
          <w:szCs w:val="24"/>
        </w:rPr>
        <w:t xml:space="preserve">   - 16.06.2015г.</w:t>
      </w:r>
    </w:p>
    <w:p w:rsidR="005E4E41" w:rsidRPr="008D0E70" w:rsidRDefault="005E4E41" w:rsidP="005E4E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70">
        <w:rPr>
          <w:rFonts w:ascii="Times New Roman" w:eastAsia="Calibri" w:hAnsi="Times New Roman" w:cs="Times New Roman"/>
          <w:sz w:val="24"/>
          <w:szCs w:val="24"/>
        </w:rPr>
        <w:t>Размещени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информации о разработке</w:t>
      </w:r>
      <w:bookmarkStart w:id="0" w:name="_GoBack"/>
      <w:bookmarkEnd w:id="0"/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для целлюлозно-бумажной промышленности в журнале «Целлюлоза. Бумага. Картон».  №4 2015г., стр.20.</w:t>
      </w:r>
    </w:p>
    <w:p w:rsidR="005E4E41" w:rsidRPr="008D0E70" w:rsidRDefault="005E4E41" w:rsidP="005E4E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E70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азмещения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8D0E70">
        <w:rPr>
          <w:rFonts w:ascii="Times New Roman" w:eastAsia="Calibri" w:hAnsi="Times New Roman" w:cs="Times New Roman"/>
          <w:sz w:val="24"/>
          <w:szCs w:val="24"/>
          <w:lang w:val="en-US"/>
        </w:rPr>
        <w:t>Packaging</w:t>
      </w:r>
      <w:r w:rsidRPr="008D0E70">
        <w:rPr>
          <w:rFonts w:ascii="Times New Roman" w:eastAsia="Calibri" w:hAnsi="Times New Roman" w:cs="Times New Roman"/>
          <w:sz w:val="24"/>
          <w:szCs w:val="24"/>
        </w:rPr>
        <w:t>» (на электронном портале)</w:t>
      </w:r>
      <w:r w:rsidRPr="008D0E70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8D0E70">
          <w:rPr>
            <w:rFonts w:ascii="Times New Roman" w:eastAsia="Calibri" w:hAnsi="Times New Roman" w:cs="Times New Roman"/>
            <w:u w:val="single"/>
          </w:rPr>
          <w:t>http://www.packaging-rd.ru/articles/21.html</w:t>
        </w:r>
      </w:hyperlink>
    </w:p>
    <w:p w:rsidR="005E4E41" w:rsidRPr="008D0E70" w:rsidRDefault="005E4E41" w:rsidP="005E4E4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E7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0E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профессионального стандарта и пояснительной записки на сайте и форуме ОАО «ЦНИИБ» 01.07.2015г.</w:t>
      </w:r>
    </w:p>
    <w:p w:rsidR="005E4E41" w:rsidRDefault="005E4E41" w:rsidP="005E4E41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Исполнительный вице-президент</w:t>
      </w: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Российского союза</w:t>
      </w: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 xml:space="preserve">промышленников и предпринимателей </w:t>
      </w:r>
      <w:r>
        <w:tab/>
      </w:r>
      <w:r>
        <w:tab/>
      </w:r>
      <w:r>
        <w:tab/>
      </w:r>
      <w:r>
        <w:tab/>
      </w:r>
      <w:r>
        <w:tab/>
        <w:t>Д.В. Кузьмин</w:t>
      </w: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  <w:sectPr w:rsidR="00DC10EF" w:rsidSect="0078798A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10EF" w:rsidRPr="00F96ACC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DC10EF" w:rsidRPr="00844F40" w:rsidRDefault="00DC10EF" w:rsidP="00DC10E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C3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C10EF" w:rsidRDefault="00DC10EF" w:rsidP="00DC1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5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– Сведения об организациях, привлеченных к разработке и согласованию проекта профе</w:t>
      </w:r>
      <w:r w:rsidR="001F7AAE">
        <w:rPr>
          <w:rFonts w:ascii="Times New Roman" w:hAnsi="Times New Roman" w:cs="Times New Roman"/>
          <w:sz w:val="24"/>
          <w:szCs w:val="24"/>
        </w:rPr>
        <w:t>ссионального стандарта «</w:t>
      </w:r>
      <w:r w:rsidR="001F7AAE"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85"/>
        <w:gridCol w:w="2048"/>
      </w:tblGrid>
      <w:tr w:rsidR="00DC10EF" w:rsidRPr="007A0DBF" w:rsidTr="0078798A">
        <w:tc>
          <w:tcPr>
            <w:tcW w:w="534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83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188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2048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</w:tr>
      <w:tr w:rsidR="00DC10EF" w:rsidRPr="007A0DBF" w:rsidTr="0078798A">
        <w:tc>
          <w:tcPr>
            <w:tcW w:w="9570" w:type="dxa"/>
            <w:gridSpan w:val="5"/>
          </w:tcPr>
          <w:p w:rsidR="00DC10EF" w:rsidRPr="007A0DBF" w:rsidRDefault="00DC10EF" w:rsidP="0078798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профессионального стандарта</w:t>
            </w:r>
          </w:p>
        </w:tc>
      </w:tr>
      <w:tr w:rsidR="00DC10EF" w:rsidRPr="007A0DBF" w:rsidTr="0078798A">
        <w:tc>
          <w:tcPr>
            <w:tcW w:w="534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 промышленников и предпринимателей (РСПП)</w:t>
            </w:r>
          </w:p>
        </w:tc>
        <w:tc>
          <w:tcPr>
            <w:tcW w:w="2268" w:type="dxa"/>
          </w:tcPr>
          <w:p w:rsidR="00DC10EF" w:rsidRPr="007A0DBF" w:rsidRDefault="00DC10EF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вице-президент</w:t>
            </w:r>
          </w:p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Д.В.</w:t>
            </w:r>
          </w:p>
        </w:tc>
        <w:tc>
          <w:tcPr>
            <w:tcW w:w="2048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EF" w:rsidRPr="007A0DBF" w:rsidTr="0078798A">
        <w:tc>
          <w:tcPr>
            <w:tcW w:w="534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C10EF" w:rsidRPr="007A0DBF" w:rsidRDefault="00DC10EF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 целлюлозно-бумажной промышленности </w:t>
            </w:r>
          </w:p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(ОООР «Бумпром»)</w:t>
            </w:r>
          </w:p>
        </w:tc>
        <w:tc>
          <w:tcPr>
            <w:tcW w:w="2268" w:type="dxa"/>
          </w:tcPr>
          <w:p w:rsidR="00DC10EF" w:rsidRPr="007A0DBF" w:rsidRDefault="00DC10EF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88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В.А.</w:t>
            </w:r>
          </w:p>
        </w:tc>
        <w:tc>
          <w:tcPr>
            <w:tcW w:w="2048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EF" w:rsidRPr="007A0DBF" w:rsidTr="0078798A">
        <w:tc>
          <w:tcPr>
            <w:tcW w:w="534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C10EF" w:rsidRPr="007A0DBF" w:rsidRDefault="00DC10EF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«Центральный научно-исследовательский институт бумаги» (ОАО «ЦНИИБ»)</w:t>
            </w:r>
          </w:p>
        </w:tc>
        <w:tc>
          <w:tcPr>
            <w:tcW w:w="2268" w:type="dxa"/>
          </w:tcPr>
          <w:p w:rsidR="00DC10EF" w:rsidRPr="007A0DBF" w:rsidRDefault="00DC10EF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85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Е.Т.</w:t>
            </w:r>
          </w:p>
        </w:tc>
        <w:tc>
          <w:tcPr>
            <w:tcW w:w="2048" w:type="dxa"/>
          </w:tcPr>
          <w:p w:rsidR="00DC10EF" w:rsidRPr="007A0DBF" w:rsidRDefault="00DC10EF" w:rsidP="0078798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EF" w:rsidRPr="007A0DBF" w:rsidTr="0078798A">
        <w:tc>
          <w:tcPr>
            <w:tcW w:w="9570" w:type="dxa"/>
            <w:gridSpan w:val="5"/>
          </w:tcPr>
          <w:p w:rsidR="00DC10EF" w:rsidRDefault="00DC10EF" w:rsidP="0078798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0EF" w:rsidRPr="007A0DBF" w:rsidRDefault="00DC10EF" w:rsidP="0078798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DC10EF" w:rsidRPr="006E11B5" w:rsidRDefault="00DC10EF" w:rsidP="00DC1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EF" w:rsidRDefault="00DC10EF" w:rsidP="00DC10EF">
      <w:pPr>
        <w:sectPr w:rsidR="00DC10EF" w:rsidSect="0078798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10EF" w:rsidRPr="00646D0E" w:rsidRDefault="00DC10EF" w:rsidP="00DC10E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7E4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46D0E"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 w:rsidR="00DC10EF" w:rsidRPr="00646D0E" w:rsidRDefault="00DC10EF" w:rsidP="00DC1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Pr="00646D0E">
        <w:rPr>
          <w:rFonts w:ascii="Times New Roman" w:hAnsi="Times New Roman" w:cs="Times New Roman"/>
          <w:sz w:val="24"/>
          <w:szCs w:val="24"/>
        </w:rPr>
        <w:t xml:space="preserve"> Сводные данные об организациях и экспертах, привлеченных к обсуждению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«Содовщик»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EF" w:rsidRDefault="00DC10EF" w:rsidP="00DC10EF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260"/>
        <w:gridCol w:w="3118"/>
        <w:gridCol w:w="3261"/>
      </w:tblGrid>
      <w:tr w:rsidR="00DC10EF" w:rsidRPr="0001724D" w:rsidTr="0078798A">
        <w:trPr>
          <w:trHeight w:val="199"/>
        </w:trPr>
        <w:tc>
          <w:tcPr>
            <w:tcW w:w="3652" w:type="dxa"/>
            <w:vMerge w:val="restart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Merge w:val="restart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  <w:gridSpan w:val="2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C10EF" w:rsidRPr="0001724D" w:rsidTr="0078798A">
        <w:trPr>
          <w:trHeight w:val="1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C10EF" w:rsidRPr="0001724D" w:rsidTr="0078798A">
        <w:trPr>
          <w:trHeight w:val="101"/>
        </w:trPr>
        <w:tc>
          <w:tcPr>
            <w:tcW w:w="3652" w:type="dxa"/>
            <w:vMerge w:val="restart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Заседание Комитета ТПП РФ по лесному комплексу, полиграфической промышленности и упаковке</w:t>
            </w:r>
          </w:p>
        </w:tc>
        <w:tc>
          <w:tcPr>
            <w:tcW w:w="1418" w:type="dxa"/>
            <w:vMerge w:val="restart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отдела труда и зарплаты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Белозерова Е.Ю.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компенсациям и льготам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Гавриленко Ю.Г.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«Монди Сыктывкарский ЛПК»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Ведущий юрисконсульт Правового управления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Гудкова Н.В.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И.о. председателя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Журавлев Д.С.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Коми республиканской организации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Князева С.В.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Архангельской областной организации 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Костин А.Н.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«Сегежский ЦБК»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Костюк В.В.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Меркулов Е.А.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«Соликамскбумром»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Писоцкая Е.П.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Вологодской областной организации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Рассветалова Ф.К.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Московской областной организации Профсоюза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Рожков А.С.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управления по юридическим вопросам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Смирнов Д.В.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DC10EF" w:rsidRPr="0001724D" w:rsidTr="0078798A">
        <w:trPr>
          <w:trHeight w:val="99"/>
        </w:trPr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 «ТД ИЛП»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иректора по работе с персоналом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Коген А.В.</w:t>
            </w:r>
          </w:p>
        </w:tc>
      </w:tr>
      <w:tr w:rsidR="00DC10EF" w:rsidRPr="00815B7F" w:rsidTr="0078798A">
        <w:tc>
          <w:tcPr>
            <w:tcW w:w="3652" w:type="dxa"/>
            <w:vMerge w:val="restart"/>
          </w:tcPr>
          <w:p w:rsidR="00DC10EF" w:rsidRPr="00815B7F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7F">
              <w:rPr>
                <w:rFonts w:ascii="Times New Roman" w:hAnsi="Times New Roman"/>
                <w:sz w:val="24"/>
                <w:szCs w:val="24"/>
              </w:rPr>
              <w:t>Совместное заседание Комитета ТПП РФ по лесному комплексу, полиграфической промышленности и упаковке и Национальной конфедерации упаковщиков (НКПак)</w:t>
            </w:r>
          </w:p>
        </w:tc>
        <w:tc>
          <w:tcPr>
            <w:tcW w:w="1418" w:type="dxa"/>
            <w:vMerge w:val="restart"/>
          </w:tcPr>
          <w:p w:rsidR="00DC10EF" w:rsidRPr="00815B7F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сентября 2014г.</w:t>
            </w: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Комитет ТПП РФ по лесному комплексу, полиграфической промышленности и упаковке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УК ГП «ГОТЭК»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Директор  по стратегическому маркетингу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Алпеев Ю.В.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Национальная конфедерация упаковщиков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Бойко А.Г.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0DA">
              <w:rPr>
                <w:rFonts w:ascii="Times New Roman" w:hAnsi="Times New Roman"/>
                <w:sz w:val="24"/>
                <w:szCs w:val="24"/>
                <w:lang w:val="en-US"/>
              </w:rPr>
              <w:t>OOO “Unipack.ru”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Бредис М.А.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«Тара и упаковка»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Смиренный И.Н.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ООО «ПО ГОФРА»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Герасимов А.В.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 «Бумпром»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«Целлюлоза. Бумага. Картон»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Шварц А.Е.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 xml:space="preserve">НКПак, 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Румянцева Н.А.</w:t>
            </w:r>
          </w:p>
        </w:tc>
      </w:tr>
      <w:tr w:rsidR="00DC10EF" w:rsidRPr="00815B7F" w:rsidTr="0078798A">
        <w:tc>
          <w:tcPr>
            <w:tcW w:w="3652" w:type="dxa"/>
            <w:vMerge/>
          </w:tcPr>
          <w:p w:rsidR="00DC10EF" w:rsidRPr="00815B7F" w:rsidRDefault="00DC10EF" w:rsidP="0078798A">
            <w:pPr>
              <w:jc w:val="both"/>
            </w:pPr>
          </w:p>
        </w:tc>
        <w:tc>
          <w:tcPr>
            <w:tcW w:w="1418" w:type="dxa"/>
            <w:vMerge/>
          </w:tcPr>
          <w:p w:rsidR="00DC10EF" w:rsidRDefault="00DC10EF" w:rsidP="0078798A">
            <w:pPr>
              <w:jc w:val="center"/>
            </w:pPr>
          </w:p>
        </w:tc>
        <w:tc>
          <w:tcPr>
            <w:tcW w:w="3260" w:type="dxa"/>
          </w:tcPr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Группа компаний СФТ Групп</w:t>
            </w: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</w:tc>
      </w:tr>
      <w:tr w:rsidR="00DC10EF" w:rsidRPr="0001724D" w:rsidTr="0078798A">
        <w:tc>
          <w:tcPr>
            <w:tcW w:w="3652" w:type="dxa"/>
            <w:vMerge w:val="restart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Научно-технического совета ОАО «ЦНИИБ»</w:t>
            </w:r>
          </w:p>
        </w:tc>
        <w:tc>
          <w:tcPr>
            <w:tcW w:w="1418" w:type="dxa"/>
            <w:vMerge w:val="restart"/>
          </w:tcPr>
          <w:p w:rsidR="00DC10EF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 2014г.</w:t>
            </w:r>
          </w:p>
        </w:tc>
        <w:tc>
          <w:tcPr>
            <w:tcW w:w="3260" w:type="dxa"/>
          </w:tcPr>
          <w:p w:rsidR="00DC10EF" w:rsidRPr="000D20DA" w:rsidRDefault="00DC10EF" w:rsidP="0078798A">
            <w:pPr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ОАО «ЦНИИБ</w:t>
            </w:r>
          </w:p>
          <w:p w:rsidR="00DC10EF" w:rsidRPr="000D20DA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директор, председатель НТС</w:t>
            </w:r>
          </w:p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  <w:p w:rsidR="00DC10EF" w:rsidRPr="000D20DA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НТС и приглашенные - 22 человека</w:t>
            </w:r>
          </w:p>
        </w:tc>
      </w:tr>
      <w:tr w:rsidR="00DC10EF" w:rsidRPr="0001724D" w:rsidTr="0078798A"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«Бумпром»</w:t>
            </w: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В.С.</w:t>
            </w:r>
          </w:p>
        </w:tc>
      </w:tr>
      <w:tr w:rsidR="00DC10EF" w:rsidRPr="0001724D" w:rsidTr="0078798A">
        <w:tc>
          <w:tcPr>
            <w:tcW w:w="3652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10EF" w:rsidRPr="0001724D" w:rsidRDefault="00DC10EF" w:rsidP="00787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DC10EF" w:rsidRPr="0001724D" w:rsidRDefault="00DC10EF" w:rsidP="00787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</w:tbl>
    <w:p w:rsidR="00DC10EF" w:rsidRDefault="00DC10EF" w:rsidP="00DC10E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0EF" w:rsidRPr="00646D0E" w:rsidRDefault="00DC10EF" w:rsidP="00DC10E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646D0E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DC10EF" w:rsidRDefault="00DC10EF" w:rsidP="00DC10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Pr="007F3209">
        <w:rPr>
          <w:rFonts w:ascii="Times New Roman" w:hAnsi="Times New Roman" w:cs="Times New Roman"/>
          <w:sz w:val="24"/>
          <w:szCs w:val="24"/>
        </w:rPr>
        <w:t xml:space="preserve">  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7AAE">
        <w:rPr>
          <w:rFonts w:ascii="Times New Roman" w:hAnsi="Times New Roman" w:cs="Times New Roman"/>
          <w:sz w:val="24"/>
          <w:szCs w:val="24"/>
        </w:rPr>
        <w:t>«</w:t>
      </w:r>
      <w:r w:rsidR="001F7AAE"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EF" w:rsidRDefault="00DC10EF" w:rsidP="00DC10EF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40"/>
        <w:gridCol w:w="2692"/>
        <w:gridCol w:w="5954"/>
        <w:gridCol w:w="2975"/>
      </w:tblGrid>
      <w:tr w:rsidR="00DC10EF" w:rsidRPr="00B47A3B" w:rsidTr="0078798A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Принято, отклонено,</w:t>
            </w:r>
          </w:p>
          <w:p w:rsidR="00DC10EF" w:rsidRPr="00D80666" w:rsidRDefault="00DC10EF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226CDB" w:rsidRPr="00B47A3B" w:rsidTr="0078798A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CDB" w:rsidRPr="00D80666" w:rsidRDefault="00226CDB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CDB" w:rsidRPr="00D80666" w:rsidRDefault="00226CDB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CDB" w:rsidRPr="00D80666" w:rsidRDefault="00226CDB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CDB" w:rsidRPr="00D80666" w:rsidRDefault="00226CDB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CDB" w:rsidRPr="00D80666" w:rsidRDefault="00226CDB" w:rsidP="0078798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7D" w:rsidRDefault="00F1577D"/>
    <w:sectPr w:rsidR="00F1577D" w:rsidSect="007879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63" w:rsidRDefault="00BE2663" w:rsidP="00B15BDD">
      <w:pPr>
        <w:spacing w:after="0" w:line="240" w:lineRule="auto"/>
      </w:pPr>
      <w:r>
        <w:separator/>
      </w:r>
    </w:p>
  </w:endnote>
  <w:endnote w:type="continuationSeparator" w:id="0">
    <w:p w:rsidR="00BE2663" w:rsidRDefault="00BE2663" w:rsidP="00B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63" w:rsidRDefault="00BE2663" w:rsidP="00B15BDD">
      <w:pPr>
        <w:spacing w:after="0" w:line="240" w:lineRule="auto"/>
      </w:pPr>
      <w:r>
        <w:separator/>
      </w:r>
    </w:p>
  </w:footnote>
  <w:footnote w:type="continuationSeparator" w:id="0">
    <w:p w:rsidR="00BE2663" w:rsidRDefault="00BE2663" w:rsidP="00B1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062253"/>
      <w:docPartObj>
        <w:docPartGallery w:val="Page Numbers (Top of Page)"/>
        <w:docPartUnique/>
      </w:docPartObj>
    </w:sdtPr>
    <w:sdtEndPr/>
    <w:sdtContent>
      <w:p w:rsidR="00503DC1" w:rsidRDefault="00BE26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3DC1" w:rsidRDefault="00503D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</w:rPr>
    </w:lvl>
  </w:abstractNum>
  <w:abstractNum w:abstractNumId="1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412E6A"/>
    <w:multiLevelType w:val="multilevel"/>
    <w:tmpl w:val="942CE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0EF"/>
    <w:rsid w:val="000E5B72"/>
    <w:rsid w:val="001721EE"/>
    <w:rsid w:val="001F7AAE"/>
    <w:rsid w:val="00226CDB"/>
    <w:rsid w:val="00244E0D"/>
    <w:rsid w:val="002B1254"/>
    <w:rsid w:val="003139C2"/>
    <w:rsid w:val="00346123"/>
    <w:rsid w:val="00393ED3"/>
    <w:rsid w:val="004F1A41"/>
    <w:rsid w:val="00503DC1"/>
    <w:rsid w:val="005425CD"/>
    <w:rsid w:val="005760E6"/>
    <w:rsid w:val="005A1A95"/>
    <w:rsid w:val="005E4E41"/>
    <w:rsid w:val="00661B03"/>
    <w:rsid w:val="006C3F34"/>
    <w:rsid w:val="006E1514"/>
    <w:rsid w:val="00742C9F"/>
    <w:rsid w:val="0078798A"/>
    <w:rsid w:val="008373FE"/>
    <w:rsid w:val="00847AB7"/>
    <w:rsid w:val="008D0A38"/>
    <w:rsid w:val="008E4849"/>
    <w:rsid w:val="00976075"/>
    <w:rsid w:val="009B7512"/>
    <w:rsid w:val="009C66F9"/>
    <w:rsid w:val="00A06406"/>
    <w:rsid w:val="00A2731C"/>
    <w:rsid w:val="00AC44DD"/>
    <w:rsid w:val="00AE7E08"/>
    <w:rsid w:val="00B15BDD"/>
    <w:rsid w:val="00B27E1D"/>
    <w:rsid w:val="00BB0B3B"/>
    <w:rsid w:val="00BE0F73"/>
    <w:rsid w:val="00BE2663"/>
    <w:rsid w:val="00D06E04"/>
    <w:rsid w:val="00D56B6C"/>
    <w:rsid w:val="00DC10EF"/>
    <w:rsid w:val="00DE1898"/>
    <w:rsid w:val="00E253B2"/>
    <w:rsid w:val="00EE007C"/>
    <w:rsid w:val="00F1577D"/>
    <w:rsid w:val="00F23A59"/>
    <w:rsid w:val="00F55E5F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7876-3C70-4EE0-AE4E-F8267C4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0EF"/>
    <w:pPr>
      <w:ind w:left="720"/>
      <w:contextualSpacing/>
    </w:pPr>
  </w:style>
  <w:style w:type="paragraph" w:customStyle="1" w:styleId="Default">
    <w:name w:val="Default"/>
    <w:uiPriority w:val="99"/>
    <w:rsid w:val="00DC1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C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0E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C1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C10E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C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0EF"/>
  </w:style>
  <w:style w:type="paragraph" w:customStyle="1" w:styleId="10">
    <w:name w:val="Абзац списка1"/>
    <w:basedOn w:val="a"/>
    <w:rsid w:val="00DC10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DC10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kaging-rd.ru/articles/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sniib.ru/forum/messages/forum1/message12/1-obsuzhdenie-professionalnykh-standartov-v-oblasti-tsellyuloznobumaz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prom.ru/index.php?ids=292&amp;sub_id=23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28B7-D42E-41EB-81CC-5D1B22C4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20</cp:revision>
  <dcterms:created xsi:type="dcterms:W3CDTF">2015-06-18T06:39:00Z</dcterms:created>
  <dcterms:modified xsi:type="dcterms:W3CDTF">2015-06-30T07:10:00Z</dcterms:modified>
</cp:coreProperties>
</file>