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20051E" w:rsidRDefault="00916E66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6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7" o:title="Untitled-1-01"/>
          </v:shape>
        </w:pict>
      </w:r>
    </w:p>
    <w:p w:rsidR="0087264D" w:rsidRPr="0020051E" w:rsidRDefault="0087264D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38" w:rsidRPr="0020051E" w:rsidRDefault="00A66E38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38" w:rsidRPr="0020051E" w:rsidRDefault="00A66E38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CB" w:rsidRPr="0020051E" w:rsidRDefault="009471CB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91" w:rsidRPr="0020051E" w:rsidRDefault="00E23291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20051E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8A2C86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Всероссийского конкурса РСПП</w:t>
      </w:r>
    </w:p>
    <w:p w:rsidR="0020051E" w:rsidRPr="008A2C86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«Лидеры российского бизнеса: динамика, ответственность, </w:t>
      </w:r>
    </w:p>
    <w:p w:rsidR="0020051E" w:rsidRPr="0020051E" w:rsidRDefault="0020051E" w:rsidP="0069115A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C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2018».</w:t>
      </w:r>
    </w:p>
    <w:p w:rsidR="0020051E" w:rsidRPr="0020051E" w:rsidRDefault="0020051E" w:rsidP="0069115A">
      <w:pPr>
        <w:spacing w:before="12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динамичное развитие бизнеса»;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 импортозамещению»;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вклад в социальное развитие территорий»;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высокое качество отчетности в области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развития»;</w:t>
      </w:r>
    </w:p>
    <w:p w:rsidR="0020051E" w:rsidRPr="0020051E" w:rsidRDefault="0020051E" w:rsidP="001A339B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отражение в отчетности соответствия корпоративных целей, задач и результатов деятельности ЦУР 2030</w:t>
      </w:r>
      <w:r w:rsidRPr="00200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достижения в области охраны труда и здоровья работников»;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развитие кадрового потенциала»;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экологическую ответственность».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по указанной ниже форме. Все необходимые для участия в конкурсе документы направляются в РСПП только в электронном виде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случае предоставления некорректных или неполных сведений.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предложению Оргкомитета может быть присуждено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Гран–при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может быть компания, попавшая в пятерку номинантов не менее трех номинаций, охватывающих все три направления Конкурса: экономическое, социальное и экологическое.</w:t>
      </w:r>
      <w:r w:rsidRPr="00200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«Таблица за динамичное развитие бизнеса» (прилагается).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Критерии оценки: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выручки от реализации продукции (услуг);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чистой прибыли;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производительности труда;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инвестиций в основной капитал;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импортозамещению.</w:t>
      </w:r>
    </w:p>
    <w:p w:rsidR="0020051E" w:rsidRPr="0020051E" w:rsidRDefault="0020051E" w:rsidP="001A33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402"/>
      </w:tblGrid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конкурс организацией</w:t>
            </w:r>
          </w:p>
        </w:tc>
        <w:tc>
          <w:tcPr>
            <w:tcW w:w="3402" w:type="dxa"/>
            <w:vAlign w:val="center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Средний темп роста выручки от реализации товаров (услуг) в 2018 году: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35%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35% - 5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выручки принимает отрицательное значение, компания получает 0 баллов.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Средний темп роста чистой прибыли в 2018 году: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25%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25% до 60%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60%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прибыли принимает отрицательное значение, компания получает 0 баллов.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роста производительности труда в 2018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году:___________%</w:t>
            </w:r>
            <w:proofErr w:type="spellEnd"/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снижения производительности труда компания получает 0 баллов.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2018 г.: ____________ (млн. руб.) и их доля в совокупном объеме реализации продукции (услуг):___________%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моделей) и иные затраты, которые учитываются при заполнении соответствующего раздела формы федерального статистического наблюдения           №4-инновация.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&lt;2%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- 5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20051E" w:rsidRPr="0020051E" w:rsidTr="0020051E">
        <w:trPr>
          <w:cantSplit/>
          <w:trHeight w:val="474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за 2018 г. по сравнению с 2017 г.: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инвестиций в предыдущем периоде компания получает 1 балл. 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20051E" w:rsidRPr="0020051E" w:rsidTr="0020051E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доля экспорта в общем объеме реализации продукции в 2018 г.: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______млн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 и _____% соответственно.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-1 балл;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- 2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- 4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экспорта компания получает 0 баллов. </w:t>
            </w:r>
          </w:p>
        </w:tc>
      </w:tr>
      <w:tr w:rsidR="0020051E" w:rsidRPr="0020051E" w:rsidTr="0020051E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по импортозамещению.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краткой информации о проекте компания получает 1 балл, при отсутствии – 0 баллов.</w:t>
            </w:r>
          </w:p>
        </w:tc>
      </w:tr>
    </w:tbl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«Лучший проект по импортозамещению»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оцениваются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участниками конкурса, в соответствии со следующей структурой: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продукции, относящейся к кодам 25-32 в соответствии с Общероссийским классификатором продукции по видам экономической деятельности (ОКПД 2) - уровень локализации производства (доля используемого сырья, материалов и комплектующих российского происхождения).  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импорта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продукции на момент начала реализации проекта (в процентах). </w:t>
      </w:r>
    </w:p>
    <w:p w:rsidR="0020051E" w:rsidRPr="0020051E" w:rsidRDefault="0020051E" w:rsidP="001A33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информации по критериям 1-4 формируется экспертная оценка о соответствии проекта выбранной номинации (максимум – 3 балла).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 рынке импортозамещающей продукции, которую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/планируется занять, в процентах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проект за весь период реализации проекта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 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реализованной продукции в 2018 г. в стоимостном выражении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экспорта продукции в 2018 г. в стоимостном выражении (при наличии).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экспорта продукции в 2018 году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населения, развитие территорий.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балл).</w:t>
      </w:r>
    </w:p>
    <w:p w:rsidR="0020051E" w:rsidRPr="0020051E" w:rsidRDefault="0020051E" w:rsidP="001A339B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:rsidR="0020051E" w:rsidRPr="0020051E" w:rsidRDefault="00916E66" w:rsidP="001A339B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="0020051E"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0051E" w:rsidRPr="0020051E" w:rsidRDefault="0020051E" w:rsidP="001A339B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proofErr w:type="spellStart"/>
      <w:r w:rsidRPr="002005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proofErr w:type="spellEnd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</w:t>
      </w:r>
      <w:proofErr w:type="gramStart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основании</w:t>
      </w:r>
      <w:proofErr w:type="gramEnd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представленной информации).</w:t>
      </w: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8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вклад в социальное развитие территорий»</w:t>
      </w:r>
    </w:p>
    <w:p w:rsidR="0020051E" w:rsidRPr="0020051E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 - подтвержденного партнерства в реализации социальных инвестиций, социальных программ в территориях присутствия.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программ и проектов в области социальных инвестиций, которые соответствуют ЦУР 2030.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Вклад в решение социальных проблем территорий.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социальной направленности и их реализации.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:rsidR="0020051E" w:rsidRPr="0020051E" w:rsidRDefault="0020051E" w:rsidP="001A339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социальное развитие территорий»</w:t>
      </w:r>
    </w:p>
    <w:p w:rsid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20051E" w:rsidRPr="0020051E" w:rsidRDefault="0020051E" w:rsidP="001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20051E" w:rsidRPr="0020051E" w:rsidRDefault="0020051E" w:rsidP="001A3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социальное развитие территории: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2"/>
        <w:gridCol w:w="1844"/>
      </w:tblGrid>
      <w:tr w:rsidR="0020051E" w:rsidRPr="0020051E" w:rsidTr="0020051E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20051E" w:rsidRPr="0020051E" w:rsidTr="0020051E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 w:rsidRPr="002005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ЦУР 2030.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  <w:p w:rsidR="0020051E" w:rsidRPr="0020051E" w:rsidRDefault="0020051E" w:rsidP="001A339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цели и задачи компании, отвечающие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</w:t>
            </w:r>
          </w:p>
          <w:p w:rsidR="0020051E" w:rsidRPr="0020051E" w:rsidRDefault="0020051E" w:rsidP="001A339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программы, отвечающие достижению конкретных ЦУР 2030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051E" w:rsidRPr="0020051E" w:rsidTr="0020051E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051E" w:rsidRPr="0020051E" w:rsidTr="0020051E">
        <w:trPr>
          <w:cantSplit/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0051E" w:rsidRPr="0020051E" w:rsidTr="0020051E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(2016-2018 гг.) общие затраты на программы (тыс. руб.) организации, в т.ч. и партнерские в совокупности.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(Перечислите или дайте ссылки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интернет–ресурсы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программы (проекта) в сообществе: результаты конкурсов, рейтингов организаций за период 2016/2018 гг.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051E" w:rsidRPr="0020051E" w:rsidTr="0020051E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051E" w:rsidRPr="0020051E" w:rsidTr="0020051E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«За высокое качество отчетности в области </w:t>
      </w:r>
      <w:proofErr w:type="gramStart"/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развития»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Регистрация в Национальном Регистре корпоративных нефинансовых отчетов РСПП (отчеты в области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социальные, экологические, интегрированные).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 отвечающих ЦУР 2030.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20051E" w:rsidRPr="0020051E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110"/>
        <w:tblW w:w="10031" w:type="dxa"/>
        <w:tblLook w:val="04A0"/>
      </w:tblPr>
      <w:tblGrid>
        <w:gridCol w:w="675"/>
        <w:gridCol w:w="6843"/>
        <w:gridCol w:w="2513"/>
      </w:tblGrid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(баллы)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 направлений и результатов деятельности,  отвечающих ЦУР 2030.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 ЦУР 2030;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 ЦУР 2030;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оцениваются Советом РСПП по нефинансовой отчетности.</w:t>
      </w:r>
    </w:p>
    <w:p w:rsidR="001A339B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Номинация «За достижения в области охраны труда и здоровья работников»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20051E">
        <w:rPr>
          <w:rFonts w:ascii="Times New Roman" w:hAnsi="Times New Roman" w:cs="Times New Roman"/>
          <w:sz w:val="24"/>
          <w:szCs w:val="24"/>
          <w:lang w:eastAsia="ru-RU"/>
        </w:rPr>
        <w:t>ст с вр</w:t>
      </w:r>
      <w:proofErr w:type="gramEnd"/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2018 года, </w:t>
      </w:r>
      <w:r w:rsidRPr="0020051E">
        <w:rPr>
          <w:rFonts w:ascii="Times New Roman" w:hAnsi="Times New Roman" w:cs="Times New Roman"/>
          <w:sz w:val="24"/>
          <w:szCs w:val="24"/>
        </w:rPr>
        <w:t>произошедших не по вине третьих лиц.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1. Наличие документально оформленной политики в области охраны труда и здоровья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Отражение программ и планов в коллективных договорах, информационных материалах.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4. Возможность распространения опыта за пределами организации и его тиражирования.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20051E" w:rsidRPr="0020051E" w:rsidRDefault="0020051E" w:rsidP="001A33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информацию.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sz w:val="24"/>
          <w:szCs w:val="24"/>
          <w:lang w:eastAsia="ru-RU"/>
        </w:rPr>
        <w:t>«За достижения в области охраны труда и здоровья работников»</w:t>
      </w:r>
    </w:p>
    <w:p w:rsidR="0020051E" w:rsidRPr="0020051E" w:rsidRDefault="0020051E" w:rsidP="001A339B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20051E" w:rsidRPr="0020051E" w:rsidRDefault="0020051E" w:rsidP="001A33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0051E" w:rsidRPr="0020051E" w:rsidRDefault="0020051E" w:rsidP="001A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6"/>
        <w:gridCol w:w="5914"/>
        <w:gridCol w:w="3388"/>
      </w:tblGrid>
      <w:tr w:rsidR="0020051E" w:rsidRPr="0020051E" w:rsidTr="0020051E">
        <w:trPr>
          <w:cantSplit/>
          <w:trHeight w:val="600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1A339B">
        <w:trPr>
          <w:cantSplit/>
          <w:trHeight w:val="1687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  <w:r w:rsidRPr="0020051E">
              <w:rPr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организации 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(только в России, если организация международная)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всего _______ чел.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численность занятых на рабочих местах с вредными и/или опасными условиями труда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 в 2016-2018 гг.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1A339B">
        <w:trPr>
          <w:cantSplit/>
          <w:trHeight w:val="2270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2018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(приложить в электронном виде или указать ссылку на электронный ресурс)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политики, программы (перечня, плана мероприятий) – 3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1A339B">
        <w:trPr>
          <w:cantSplit/>
          <w:trHeight w:val="2024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 и проектов в области охраны труда и здоровья работников и заявленных  в них результатов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2030.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Перечислите программы и покажите ориентированность на определенные цели (указать на какие).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 обратить внимание на ЦУР: 3,6,8,17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цели и задачи компании, отвечают 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2030– 3 балла;                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их результаты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достижению конкретных ЦУР 2030 (и каких)  – 2 балла.</w:t>
            </w:r>
          </w:p>
        </w:tc>
      </w:tr>
      <w:tr w:rsidR="0020051E" w:rsidRPr="0020051E" w:rsidTr="001A339B">
        <w:trPr>
          <w:cantSplit/>
          <w:trHeight w:val="1493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 в 2016, 2017, 2018 гг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(%), </w:t>
            </w:r>
            <w:proofErr w:type="gramEnd"/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0,60% – 5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0,41 до 0,60% – 4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0,21 до 0,40% – 3балла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0,20% и менее - 0 баллов</w:t>
            </w:r>
          </w:p>
        </w:tc>
      </w:tr>
      <w:tr w:rsidR="0020051E" w:rsidRPr="0020051E" w:rsidTr="001A339B">
        <w:trPr>
          <w:cantSplit/>
          <w:trHeight w:val="1226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(размещение в интернет </w:t>
            </w:r>
            <w:proofErr w:type="gramStart"/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ресурсах</w:t>
            </w:r>
            <w:proofErr w:type="gramEnd"/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 нефинансовых отчетах, СМИ, публикации и т.п.)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– 5 баллов, отсутствие – 0 баллов</w:t>
            </w:r>
          </w:p>
        </w:tc>
      </w:tr>
      <w:tr w:rsidR="0020051E" w:rsidRPr="0020051E" w:rsidTr="001A339B">
        <w:trPr>
          <w:cantSplit/>
          <w:trHeight w:val="2070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Охват специальной оценкой условий труда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по состоянию на 31 декабря 2018 года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(сводная ведомость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31 декабря 2018 года, к общему кол-ву рабочих мест.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90,0 до 100% – 5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80,0 до 89,9% – 4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70,0 до 79,9% – 3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60,0 до 69,9%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50,0 до 59,9% – 1 балл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менее 50,0% – 0 баллов</w:t>
            </w:r>
          </w:p>
        </w:tc>
      </w:tr>
      <w:tr w:rsidR="0020051E" w:rsidRPr="0020051E" w:rsidTr="001A339B">
        <w:trPr>
          <w:cantSplit/>
          <w:trHeight w:val="3104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числа работников, занятых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и (или) опасными условиями труда  в 2018 году по сравнению с 2016 годом, (человек)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и (ли) опасными условиями труда отсутствуют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работников, занятых на работах с вредными и (или) опасными условиями в 2018 году по сравнению с 2016 годом, снизилось – не менее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5% - 5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 менее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5%, или не изменилось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– 0 баллов.</w:t>
            </w:r>
          </w:p>
        </w:tc>
      </w:tr>
      <w:tr w:rsidR="0020051E" w:rsidRPr="0020051E" w:rsidTr="0020051E">
        <w:trPr>
          <w:cantSplit/>
          <w:trHeight w:val="216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уровня производственного травматизма за 2018-2016 годы (численность работников, пострадавших в результате несчастных случаев на производстве с утратой трудоспособности на 1 рабочий день и более (человек) на основании формы федерального статистического наблюдения № 7- травматизм «Сведения о травматизме на производстве и профессиональных заболеваниях»).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травматизм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лет – 5 баллов,  снижение –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равное количество 1 балл, рост в  2018 году - 0 баллов</w:t>
            </w:r>
          </w:p>
        </w:tc>
      </w:tr>
      <w:tr w:rsidR="0020051E" w:rsidRPr="0020051E" w:rsidTr="001A339B">
        <w:trPr>
          <w:cantSplit/>
          <w:trHeight w:val="131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  <w:r w:rsidRPr="0020051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уровня профессиональной заболеваемости за 2016 - 2018 годы (численность лиц с впервые установленным профессиональным заболеванием)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профзаболевания в течение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3-х лет или сокращение – 5 баллов,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 – 3 балла,    увеличение 0 баллов.</w:t>
            </w:r>
          </w:p>
        </w:tc>
      </w:tr>
      <w:tr w:rsidR="0020051E" w:rsidRPr="0020051E" w:rsidTr="001A339B">
        <w:trPr>
          <w:cantSplit/>
          <w:trHeight w:val="1481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2018 году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2018 году – 2 балла.</w:t>
            </w:r>
          </w:p>
        </w:tc>
      </w:tr>
      <w:tr w:rsidR="0020051E" w:rsidRPr="0020051E" w:rsidTr="001A339B">
        <w:trPr>
          <w:cantSplit/>
          <w:trHeight w:val="1199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2018 году.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программы, плана мероприятий –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отчета об их реализации – 2 балла </w:t>
            </w:r>
          </w:p>
        </w:tc>
      </w:tr>
      <w:tr w:rsidR="0020051E" w:rsidRPr="0020051E" w:rsidTr="001A339B">
        <w:trPr>
          <w:cantSplit/>
          <w:trHeight w:val="374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финансирования организацией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 (тыс. руб.).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к 2017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к 2016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к 2015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общей заболеваемости работников организации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 2018 году к 2017 году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 к 2016 году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к 2015 году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мероприятий из средств работодателя –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2016 г. – 3 балла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- 0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общей заболеваемости работников организации – 5 балов: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2016 г. – 3 балла;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– 0 баллов. </w:t>
            </w:r>
          </w:p>
        </w:tc>
      </w:tr>
      <w:tr w:rsidR="0020051E" w:rsidRPr="0020051E" w:rsidTr="001A339B">
        <w:trPr>
          <w:cantSplit/>
          <w:trHeight w:val="1978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Реализация предупредительных мер по сокращению производственного травматизма 2016 -2018 годы  (рассчитывается как средний показатель за три года, используется информация из расчета по начисленным и уплаченным страховым взносам на обязательное социальное страхование от несчастных случаев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профессиональных заболеваний форма 4-ФСС РФ)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         - 5 баллов,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15- 20 %   - 4 балла,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10-15 % - 3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5-10%         - 2 балла,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1 - 5 %      - 1 бал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            - 0 баллов</w:t>
            </w:r>
          </w:p>
        </w:tc>
      </w:tr>
      <w:tr w:rsidR="0020051E" w:rsidRPr="0020051E" w:rsidTr="001A339B">
        <w:trPr>
          <w:cantSplit/>
          <w:trHeight w:val="722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Осуществление проверки (самопроверки) соблюдения требований трудового законодательства на электронном портале «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Онлайн-инспекция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на сайте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Роструда</w:t>
            </w:r>
            <w:proofErr w:type="spellEnd"/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</w:tc>
      </w:tr>
      <w:tr w:rsidR="0020051E" w:rsidRPr="0020051E" w:rsidTr="001A339B">
        <w:trPr>
          <w:cantSplit/>
          <w:trHeight w:val="443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вынесенных в 2016 - 2018 годах должностными лицами государственной инспекции труда постановлений о назначении административного наказания</w:t>
            </w:r>
            <w:r w:rsidRPr="0020051E"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 в течение 3-х лет или сокращение-5 баллов,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изменений -3 балла, увеличение           -   0  баллов.</w:t>
            </w:r>
          </w:p>
        </w:tc>
      </w:tr>
      <w:tr w:rsidR="0020051E" w:rsidRPr="0020051E" w:rsidTr="0020051E">
        <w:trPr>
          <w:cantSplit/>
          <w:trHeight w:val="464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работников средствами индивидуальной защиты сверх установленных нормативов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3 балла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20051E">
        <w:rPr>
          <w:rFonts w:ascii="Times New Roman" w:hAnsi="Times New Roman" w:cs="Times New Roman"/>
          <w:sz w:val="24"/>
          <w:szCs w:val="24"/>
          <w:lang w:val="en-US" w:eastAsia="ru-RU"/>
        </w:rPr>
        <w:t>HR</w:t>
      </w: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Номинация «За развитие кадрового потенциала»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  <w:proofErr w:type="gramEnd"/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:rsidR="0020051E" w:rsidRPr="0020051E" w:rsidRDefault="0020051E" w:rsidP="001A339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:rsidR="0020051E" w:rsidRPr="0020051E" w:rsidRDefault="0020051E" w:rsidP="001A33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____________________________________________________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0051E" w:rsidRDefault="0020051E" w:rsidP="001A33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:rsidR="001A339B" w:rsidRPr="0020051E" w:rsidRDefault="001A339B" w:rsidP="001A339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47"/>
        <w:gridCol w:w="6018"/>
        <w:gridCol w:w="2973"/>
      </w:tblGrid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организации (только в России, если организация международная): всего _______ чел. 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129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оформленной, документально подтвержденной стратегии, политики организации 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организации по развитию персонала и отчет об их исполнении (перечислите и кратко охарактеризуйте).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 их результатов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2030.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программы с указанием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 (количество от  1 до 17)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цели и задачи компании отвечают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2030– 3 балла;                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 результаты  их реализации отвечают достижению конкретных ЦУР 2030 (и каких)  – 2 балла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2016,2017, 2018 гг. (тыс. руб.)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2016 г. – 1  балл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2016,2017, 2018 гг. (час.)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числа часов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2016 г. – 1  балл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2016 - 2018 гг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2016 г. – 1 балл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программ (проектов)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2015-2017)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- 3 балла</w:t>
            </w:r>
          </w:p>
        </w:tc>
      </w:tr>
      <w:tr w:rsidR="0020051E" w:rsidRPr="0020051E" w:rsidTr="0020051E">
        <w:trPr>
          <w:cantSplit/>
          <w:trHeight w:val="1127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- 3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20051E" w:rsidRPr="0020051E" w:rsidTr="0020051E">
        <w:trPr>
          <w:cantSplit/>
          <w:trHeight w:val="74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учреждений профессионального образования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образовательных и профессиональных стандартов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20051E" w:rsidRPr="0020051E" w:rsidTr="0020051E">
        <w:trPr>
          <w:cantSplit/>
          <w:trHeight w:val="58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за 2014,  2015 и 2016 годы), включая профессиональное обучение, переобучение, повышение квалификации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плана - 5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плана - 0 баллов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2016-2018 годах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2016 г. – 1 балл 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 (тыс. руб.)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2016 г. – 1 балл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2017-2018 годах  независимой оценки квалификации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прошедших независимую оценку квалификации (чел.) по направлению работодателя 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балл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балл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обеспечение, количество охваченных сотрудников и объем финансирования (общий и на человека) в 2018 году, в 2017 году, в  2016 году   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(общий и на человека) в 2018 году, в 2017 году, в  2016 году   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 в расчёте на каждого работника, в 2018 году, в 2017 году, в  2016 году   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2 балла; 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программы (укажите) - по 1 баллу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2016-2018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количества – 3 балла  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квотой  – 3 балла  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финансовых затрат организации на обеспечение занятости инвалидов в расчёте на одного трудоустроенного инвалида2016,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роста затрат – 3 балла  </w:t>
            </w:r>
          </w:p>
        </w:tc>
      </w:tr>
      <w:tr w:rsidR="0020051E" w:rsidRPr="0020051E" w:rsidTr="0020051E">
        <w:trPr>
          <w:cantSplit/>
          <w:trHeight w:val="67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5 баллов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динамика, ответственность, устойчивость - 2018»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корпоративных практик социальной направленности РСПП, в Сборники лучших практик и пр.).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Номинация «За экологическую ответственность»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1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эко-менеджмента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эко-образования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экологическую ответственность»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59"/>
        <w:gridCol w:w="1559"/>
        <w:gridCol w:w="1702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в процентах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значение показателя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(9001, </w:t>
            </w:r>
          </w:p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18001, 50000 и пр.)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/нет) (например)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Ангаро-Байкальский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Ангаро-Байкальский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Ориентированность программ и проектов в области экологической ответственности, их результаты на соответствующие целям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(ЦУР) 2030</w:t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20051E" w:rsidRPr="0020051E" w:rsidTr="002005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тыс. руб.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Суммируются 2 года (включая прогноз за 2018 г.). 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 = 9130 баллов + 8 баллов (на остаток средств в объеме 6 млн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(до 7,5 млн.руб.) +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 = 5.500 баллов + 7 баллов (на остаток средств в объеме 3 млн.руб. (до 5 млн.руб.) =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4 пункту: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</w:t>
      </w:r>
      <w:r w:rsidR="001A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 с положительным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</w:t>
      </w:r>
      <w:r w:rsidR="001A33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</w:t>
      </w:r>
      <w:bookmarkStart w:id="0" w:name="_GoBack"/>
      <w:bookmarkEnd w:id="0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- появились – процент увеличения считается равным 100%.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:rsidR="0020051E" w:rsidRPr="0020051E" w:rsidRDefault="0020051E" w:rsidP="001A33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20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051E" w:rsidRPr="0020051E" w:rsidRDefault="0020051E" w:rsidP="001A33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каких)  – </w:t>
      </w:r>
      <w:r w:rsidRPr="0020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51E" w:rsidRPr="0020051E" w:rsidSect="001A339B">
      <w:footerReference w:type="default" r:id="rId8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1E" w:rsidRDefault="0020051E" w:rsidP="0020051E">
      <w:pPr>
        <w:spacing w:after="0" w:line="240" w:lineRule="auto"/>
      </w:pPr>
      <w:r>
        <w:separator/>
      </w:r>
    </w:p>
  </w:endnote>
  <w:endnote w:type="continuationSeparator" w:id="0">
    <w:p w:rsidR="0020051E" w:rsidRDefault="0020051E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968"/>
      <w:docPartObj>
        <w:docPartGallery w:val="Page Numbers (Bottom of Page)"/>
        <w:docPartUnique/>
      </w:docPartObj>
    </w:sdtPr>
    <w:sdtContent>
      <w:p w:rsidR="001A339B" w:rsidRDefault="00916E66">
        <w:pPr>
          <w:pStyle w:val="af5"/>
          <w:jc w:val="right"/>
        </w:pPr>
        <w:fldSimple w:instr=" PAGE   \* MERGEFORMAT ">
          <w:r w:rsidR="0069115A">
            <w:rPr>
              <w:noProof/>
            </w:rPr>
            <w:t>18</w:t>
          </w:r>
        </w:fldSimple>
      </w:p>
    </w:sdtContent>
  </w:sdt>
  <w:p w:rsidR="001A339B" w:rsidRDefault="001A339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1E" w:rsidRDefault="0020051E" w:rsidP="0020051E">
      <w:pPr>
        <w:spacing w:after="0" w:line="240" w:lineRule="auto"/>
      </w:pPr>
      <w:r>
        <w:separator/>
      </w:r>
    </w:p>
  </w:footnote>
  <w:footnote w:type="continuationSeparator" w:id="0">
    <w:p w:rsidR="0020051E" w:rsidRDefault="0020051E" w:rsidP="0020051E">
      <w:pPr>
        <w:spacing w:after="0" w:line="240" w:lineRule="auto"/>
      </w:pPr>
      <w:r>
        <w:continuationSeparator/>
      </w:r>
    </w:p>
  </w:footnote>
  <w:footnote w:id="1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  <w:footnote w:id="2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3">
    <w:p w:rsidR="0020051E" w:rsidRDefault="0020051E" w:rsidP="0020051E">
      <w:pPr>
        <w:pStyle w:val="ae"/>
        <w:rPr>
          <w:color w:val="000000"/>
          <w:sz w:val="16"/>
          <w:szCs w:val="16"/>
        </w:rPr>
      </w:pPr>
      <w:r>
        <w:rPr>
          <w:rStyle w:val="af0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</w:t>
      </w:r>
      <w:proofErr w:type="spellStart"/>
      <w:r>
        <w:rPr>
          <w:color w:val="000000"/>
          <w:sz w:val="16"/>
          <w:szCs w:val="16"/>
        </w:rPr>
        <w:t>эко-менеджмента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эко-образования</w:t>
      </w:r>
      <w:proofErr w:type="spellEnd"/>
      <w:r>
        <w:rPr>
          <w:color w:val="000000"/>
          <w:sz w:val="16"/>
          <w:szCs w:val="16"/>
        </w:rPr>
        <w:t>.</w:t>
      </w:r>
    </w:p>
  </w:footnote>
  <w:footnote w:id="4">
    <w:p w:rsidR="0020051E" w:rsidRDefault="0020051E" w:rsidP="0020051E">
      <w:pPr>
        <w:pStyle w:val="ae"/>
        <w:rPr>
          <w:color w:val="000000"/>
          <w:sz w:val="16"/>
          <w:szCs w:val="16"/>
        </w:rPr>
      </w:pPr>
      <w:r>
        <w:rPr>
          <w:rStyle w:val="af0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  <w:footnote w:id="5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733"/>
    <w:multiLevelType w:val="hybridMultilevel"/>
    <w:tmpl w:val="BE14B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92003CD"/>
    <w:multiLevelType w:val="hybridMultilevel"/>
    <w:tmpl w:val="979A932E"/>
    <w:lvl w:ilvl="0" w:tplc="C756AE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5"/>
    <w:rsid w:val="0009254A"/>
    <w:rsid w:val="000A6A92"/>
    <w:rsid w:val="0015657A"/>
    <w:rsid w:val="0018758D"/>
    <w:rsid w:val="001A2131"/>
    <w:rsid w:val="001A339B"/>
    <w:rsid w:val="001A79E6"/>
    <w:rsid w:val="0020051E"/>
    <w:rsid w:val="00217399"/>
    <w:rsid w:val="002605D5"/>
    <w:rsid w:val="00275561"/>
    <w:rsid w:val="00314E51"/>
    <w:rsid w:val="00345B20"/>
    <w:rsid w:val="003607F4"/>
    <w:rsid w:val="004267F8"/>
    <w:rsid w:val="00496AE0"/>
    <w:rsid w:val="00654F5F"/>
    <w:rsid w:val="0069115A"/>
    <w:rsid w:val="006E0E4D"/>
    <w:rsid w:val="007A2D19"/>
    <w:rsid w:val="007F2E7F"/>
    <w:rsid w:val="0087264D"/>
    <w:rsid w:val="00883B8B"/>
    <w:rsid w:val="008A2C86"/>
    <w:rsid w:val="00916E66"/>
    <w:rsid w:val="009471CB"/>
    <w:rsid w:val="009B6215"/>
    <w:rsid w:val="009E5977"/>
    <w:rsid w:val="00A64DD8"/>
    <w:rsid w:val="00A66E38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8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link w:val="aa"/>
    <w:uiPriority w:val="99"/>
    <w:semiHidden/>
    <w:rsid w:val="0020051E"/>
    <w:rPr>
      <w:b/>
      <w:bCs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d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6105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4</cp:revision>
  <cp:lastPrinted>2018-10-29T11:56:00Z</cp:lastPrinted>
  <dcterms:created xsi:type="dcterms:W3CDTF">2018-11-15T07:28:00Z</dcterms:created>
  <dcterms:modified xsi:type="dcterms:W3CDTF">2018-11-19T10:52:00Z</dcterms:modified>
</cp:coreProperties>
</file>